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24" w:rsidRPr="00141F00" w:rsidRDefault="000F2366" w:rsidP="00062F24">
      <w:pPr>
        <w:ind w:left="-284"/>
        <w:rPr>
          <w:b/>
        </w:rPr>
      </w:pPr>
      <w:r>
        <w:rPr>
          <w:b/>
        </w:rPr>
        <w:t xml:space="preserve">Table 2.4.1 </w:t>
      </w:r>
      <w:r w:rsidR="00062F24" w:rsidRPr="00141F00">
        <w:rPr>
          <w:b/>
        </w:rPr>
        <w:t xml:space="preserve">Summary of </w:t>
      </w:r>
      <w:r w:rsidR="00A44568">
        <w:rPr>
          <w:b/>
        </w:rPr>
        <w:t xml:space="preserve">planned </w:t>
      </w:r>
      <w:r w:rsidR="00062F24" w:rsidRPr="00141F00">
        <w:rPr>
          <w:b/>
        </w:rPr>
        <w:t>government support for affordable and private market housing investment in England</w:t>
      </w:r>
      <w:r w:rsidR="00A44568">
        <w:rPr>
          <w:b/>
        </w:rPr>
        <w:t>,</w:t>
      </w:r>
      <w:r w:rsidR="00062F24" w:rsidRPr="00141F00">
        <w:rPr>
          <w:b/>
        </w:rPr>
        <w:t xml:space="preserve"> </w:t>
      </w:r>
      <w:r w:rsidR="00523764" w:rsidRPr="00141F00">
        <w:rPr>
          <w:b/>
        </w:rPr>
        <w:t>201</w:t>
      </w:r>
      <w:r w:rsidR="00523764">
        <w:rPr>
          <w:b/>
        </w:rPr>
        <w:t>6</w:t>
      </w:r>
      <w:r w:rsidR="00062F24" w:rsidRPr="00141F00">
        <w:rPr>
          <w:b/>
        </w:rPr>
        <w:t>/</w:t>
      </w:r>
      <w:r w:rsidR="00523764" w:rsidRPr="00141F00">
        <w:rPr>
          <w:b/>
        </w:rPr>
        <w:t>1</w:t>
      </w:r>
      <w:r w:rsidR="00523764">
        <w:rPr>
          <w:b/>
        </w:rPr>
        <w:t>7</w:t>
      </w:r>
      <w:r w:rsidR="00A44568">
        <w:rPr>
          <w:b/>
        </w:rPr>
        <w:t>-2020/21</w:t>
      </w:r>
    </w:p>
    <w:tbl>
      <w:tblPr>
        <w:tblW w:w="143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1858"/>
        <w:gridCol w:w="1218"/>
        <w:gridCol w:w="1131"/>
        <w:gridCol w:w="1186"/>
        <w:gridCol w:w="6966"/>
      </w:tblGrid>
      <w:tr w:rsidR="00062F24" w:rsidRPr="00062F24" w:rsidTr="006E28ED">
        <w:tc>
          <w:tcPr>
            <w:tcW w:w="2035" w:type="dxa"/>
          </w:tcPr>
          <w:p w:rsidR="00062F24" w:rsidRPr="00062F24" w:rsidRDefault="00062F24" w:rsidP="00062F24">
            <w:pPr>
              <w:spacing w:after="0" w:line="240" w:lineRule="auto"/>
              <w:rPr>
                <w:b/>
              </w:rPr>
            </w:pPr>
            <w:r w:rsidRPr="00062F24">
              <w:rPr>
                <w:b/>
              </w:rPr>
              <w:t>Programme</w:t>
            </w:r>
          </w:p>
        </w:tc>
        <w:tc>
          <w:tcPr>
            <w:tcW w:w="1858" w:type="dxa"/>
          </w:tcPr>
          <w:p w:rsidR="00062F24" w:rsidRPr="00062F24" w:rsidRDefault="00062F24" w:rsidP="00062F24">
            <w:pPr>
              <w:spacing w:after="0" w:line="240" w:lineRule="auto"/>
              <w:rPr>
                <w:b/>
              </w:rPr>
            </w:pPr>
            <w:r w:rsidRPr="00062F24">
              <w:rPr>
                <w:b/>
              </w:rPr>
              <w:t>Period</w:t>
            </w:r>
          </w:p>
        </w:tc>
        <w:tc>
          <w:tcPr>
            <w:tcW w:w="1218" w:type="dxa"/>
          </w:tcPr>
          <w:p w:rsidR="00062F24" w:rsidRPr="00062F24" w:rsidRDefault="00062F24" w:rsidP="00062F24">
            <w:pPr>
              <w:spacing w:after="0" w:line="240" w:lineRule="auto"/>
              <w:jc w:val="right"/>
              <w:rPr>
                <w:b/>
              </w:rPr>
            </w:pPr>
            <w:r w:rsidRPr="00062F24">
              <w:rPr>
                <w:b/>
              </w:rPr>
              <w:t>Grant (£ million)</w:t>
            </w:r>
          </w:p>
        </w:tc>
        <w:tc>
          <w:tcPr>
            <w:tcW w:w="1131" w:type="dxa"/>
          </w:tcPr>
          <w:p w:rsidR="00062F24" w:rsidRPr="00062F24" w:rsidRDefault="00062F24" w:rsidP="00CC72D5">
            <w:pPr>
              <w:spacing w:after="0" w:line="240" w:lineRule="auto"/>
              <w:jc w:val="right"/>
              <w:rPr>
                <w:b/>
              </w:rPr>
            </w:pPr>
            <w:r w:rsidRPr="00062F24">
              <w:rPr>
                <w:b/>
              </w:rPr>
              <w:t>Loan (£ million)</w:t>
            </w:r>
          </w:p>
        </w:tc>
        <w:tc>
          <w:tcPr>
            <w:tcW w:w="1186" w:type="dxa"/>
          </w:tcPr>
          <w:p w:rsidR="00062F24" w:rsidRPr="00062F24" w:rsidRDefault="00062F24" w:rsidP="00CC72D5">
            <w:pPr>
              <w:spacing w:after="0" w:line="240" w:lineRule="auto"/>
              <w:jc w:val="right"/>
              <w:rPr>
                <w:b/>
              </w:rPr>
            </w:pPr>
            <w:r w:rsidRPr="00062F24">
              <w:rPr>
                <w:b/>
              </w:rPr>
              <w:t>Guarantee (£ million)</w:t>
            </w:r>
          </w:p>
        </w:tc>
        <w:tc>
          <w:tcPr>
            <w:tcW w:w="6966" w:type="dxa"/>
          </w:tcPr>
          <w:p w:rsidR="00062F24" w:rsidRPr="00062F24" w:rsidRDefault="00062F24" w:rsidP="00062F24">
            <w:pPr>
              <w:spacing w:after="0" w:line="240" w:lineRule="auto"/>
              <w:rPr>
                <w:b/>
              </w:rPr>
            </w:pPr>
            <w:r w:rsidRPr="00062F24">
              <w:rPr>
                <w:b/>
              </w:rPr>
              <w:t>Notes</w:t>
            </w:r>
          </w:p>
        </w:tc>
      </w:tr>
      <w:tr w:rsidR="00CC72D5" w:rsidRPr="00CC72D5" w:rsidTr="00141F00">
        <w:trPr>
          <w:trHeight w:val="502"/>
        </w:trPr>
        <w:tc>
          <w:tcPr>
            <w:tcW w:w="14394" w:type="dxa"/>
            <w:gridSpan w:val="6"/>
          </w:tcPr>
          <w:p w:rsidR="00CC72D5" w:rsidRPr="00CC72D5" w:rsidRDefault="00CC72D5" w:rsidP="00A13C72">
            <w:pPr>
              <w:spacing w:after="0" w:line="240" w:lineRule="auto"/>
              <w:jc w:val="center"/>
              <w:rPr>
                <w:b/>
              </w:rPr>
            </w:pPr>
            <w:r w:rsidRPr="00CC72D5">
              <w:rPr>
                <w:b/>
              </w:rPr>
              <w:t xml:space="preserve">Programmes aimed primarily at delivering housing at Affordable Rents or </w:t>
            </w:r>
            <w:r w:rsidR="00A13C72">
              <w:rPr>
                <w:b/>
              </w:rPr>
              <w:t>for low-cost homeownership</w:t>
            </w:r>
          </w:p>
        </w:tc>
      </w:tr>
      <w:tr w:rsidR="00A13C72" w:rsidRPr="000F2366" w:rsidTr="000F2366">
        <w:trPr>
          <w:trHeight w:val="678"/>
        </w:trPr>
        <w:tc>
          <w:tcPr>
            <w:tcW w:w="2035" w:type="dxa"/>
            <w:shd w:val="clear" w:color="auto" w:fill="auto"/>
          </w:tcPr>
          <w:p w:rsidR="00A13C72" w:rsidRPr="000F2366" w:rsidRDefault="000F2366" w:rsidP="00203024">
            <w:pPr>
              <w:spacing w:after="0" w:line="240" w:lineRule="auto"/>
            </w:pPr>
            <w:r w:rsidRPr="000F2366">
              <w:t>Shared Ownership and</w:t>
            </w:r>
            <w:r w:rsidR="00A13C72" w:rsidRPr="000F2366">
              <w:t xml:space="preserve"> Affordable Homes Programme </w:t>
            </w:r>
            <w:r w:rsidR="00335158" w:rsidRPr="000F2366">
              <w:t>(</w:t>
            </w:r>
            <w:r w:rsidRPr="000F2366">
              <w:t>SO</w:t>
            </w:r>
            <w:r w:rsidR="00335158" w:rsidRPr="000F2366">
              <w:t>AHP)</w:t>
            </w:r>
          </w:p>
        </w:tc>
        <w:tc>
          <w:tcPr>
            <w:tcW w:w="1858" w:type="dxa"/>
            <w:shd w:val="clear" w:color="auto" w:fill="auto"/>
          </w:tcPr>
          <w:p w:rsidR="00A13C72" w:rsidRPr="000F2366" w:rsidRDefault="00A13C72" w:rsidP="00203024">
            <w:pPr>
              <w:spacing w:after="0" w:line="240" w:lineRule="auto"/>
            </w:pPr>
            <w:r w:rsidRPr="000F2366">
              <w:t>2016/17-2020/21</w:t>
            </w:r>
          </w:p>
        </w:tc>
        <w:tc>
          <w:tcPr>
            <w:tcW w:w="1218" w:type="dxa"/>
            <w:shd w:val="clear" w:color="auto" w:fill="auto"/>
          </w:tcPr>
          <w:p w:rsidR="00A13C72" w:rsidRPr="000F2366" w:rsidRDefault="00A13C72" w:rsidP="000F2366">
            <w:pPr>
              <w:spacing w:after="0" w:line="240" w:lineRule="auto"/>
              <w:jc w:val="right"/>
            </w:pPr>
            <w:r w:rsidRPr="00CE0AC5">
              <w:t>4,</w:t>
            </w:r>
            <w:r w:rsidR="000F2366" w:rsidRPr="00CE0AC5">
              <w:t>3</w:t>
            </w:r>
            <w:r w:rsidRPr="00CE0AC5">
              <w:t>00</w:t>
            </w:r>
            <w:r w:rsidRPr="000F2366"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A13C72" w:rsidRPr="000F2366" w:rsidRDefault="00A13C72" w:rsidP="00203024">
            <w:pPr>
              <w:spacing w:after="0" w:line="240" w:lineRule="auto"/>
              <w:jc w:val="right"/>
            </w:pPr>
            <w:r w:rsidRPr="000F2366">
              <w:t>-</w:t>
            </w:r>
          </w:p>
        </w:tc>
        <w:tc>
          <w:tcPr>
            <w:tcW w:w="1186" w:type="dxa"/>
            <w:shd w:val="clear" w:color="auto" w:fill="auto"/>
          </w:tcPr>
          <w:p w:rsidR="00A13C72" w:rsidRPr="000F2366" w:rsidRDefault="00A13C72" w:rsidP="00203024">
            <w:pPr>
              <w:spacing w:after="0" w:line="240" w:lineRule="auto"/>
              <w:jc w:val="right"/>
            </w:pPr>
            <w:r w:rsidRPr="000F2366">
              <w:t>-</w:t>
            </w:r>
          </w:p>
        </w:tc>
        <w:tc>
          <w:tcPr>
            <w:tcW w:w="6966" w:type="dxa"/>
            <w:shd w:val="clear" w:color="auto" w:fill="auto"/>
          </w:tcPr>
          <w:p w:rsidR="00A13C72" w:rsidRPr="000F2366" w:rsidRDefault="00816DCC" w:rsidP="00CE0AC5">
            <w:pPr>
              <w:spacing w:after="0" w:line="240" w:lineRule="auto"/>
            </w:pPr>
            <w:r w:rsidRPr="000F2366">
              <w:t>Current</w:t>
            </w:r>
            <w:r w:rsidR="00A13C72" w:rsidRPr="000F2366">
              <w:t xml:space="preserve"> </w:t>
            </w:r>
            <w:r w:rsidRPr="000F2366">
              <w:t>HCA/GLA programme</w:t>
            </w:r>
            <w:r w:rsidR="00A13C72" w:rsidRPr="000F2366">
              <w:t xml:space="preserve"> </w:t>
            </w:r>
            <w:r w:rsidRPr="000F2366">
              <w:t>now aimed at low-cost home</w:t>
            </w:r>
            <w:r w:rsidR="00A13C72" w:rsidRPr="000F2366">
              <w:t>ownership</w:t>
            </w:r>
            <w:r w:rsidR="00BA0FEA" w:rsidRPr="000F2366">
              <w:t>, rent to buy</w:t>
            </w:r>
            <w:r w:rsidRPr="000F2366">
              <w:t xml:space="preserve"> and Affordable Rent housing</w:t>
            </w:r>
            <w:r w:rsidR="00A13C72" w:rsidRPr="000F2366">
              <w:t xml:space="preserve">. </w:t>
            </w:r>
            <w:r w:rsidR="000F2366" w:rsidRPr="00CE0AC5">
              <w:t xml:space="preserve">£400 billion </w:t>
            </w:r>
            <w:r w:rsidR="00CE0AC5">
              <w:t xml:space="preserve">for </w:t>
            </w:r>
            <w:r w:rsidR="000F2366" w:rsidRPr="00CE0AC5">
              <w:t>specialist ho</w:t>
            </w:r>
            <w:r w:rsidR="00CE0AC5" w:rsidRPr="00CE0AC5">
              <w:t>mes for older, disabled and vulnerable people</w:t>
            </w:r>
            <w:r w:rsidR="000F2366" w:rsidRPr="00CE0AC5">
              <w:t xml:space="preserve"> listed separately below.</w:t>
            </w:r>
          </w:p>
        </w:tc>
      </w:tr>
      <w:tr w:rsidR="00A13C72" w:rsidRPr="00062F24" w:rsidTr="000F2366">
        <w:trPr>
          <w:trHeight w:val="678"/>
        </w:trPr>
        <w:tc>
          <w:tcPr>
            <w:tcW w:w="2035" w:type="dxa"/>
            <w:shd w:val="clear" w:color="auto" w:fill="auto"/>
          </w:tcPr>
          <w:p w:rsidR="00A13C72" w:rsidRPr="000F2366" w:rsidRDefault="00A13C72" w:rsidP="00062F24">
            <w:pPr>
              <w:spacing w:after="0" w:line="240" w:lineRule="auto"/>
            </w:pPr>
            <w:r w:rsidRPr="000F2366">
              <w:t xml:space="preserve">Additional funding for affordable housing </w:t>
            </w:r>
          </w:p>
        </w:tc>
        <w:tc>
          <w:tcPr>
            <w:tcW w:w="1858" w:type="dxa"/>
            <w:shd w:val="clear" w:color="auto" w:fill="auto"/>
          </w:tcPr>
          <w:p w:rsidR="00A13C72" w:rsidRPr="000F2366" w:rsidRDefault="00A13C72" w:rsidP="00CE0AC5">
            <w:pPr>
              <w:spacing w:after="0" w:line="240" w:lineRule="auto"/>
            </w:pPr>
            <w:r w:rsidRPr="000F2366">
              <w:t>2017/18-202</w:t>
            </w:r>
            <w:r w:rsidR="00CE0AC5">
              <w:t>0</w:t>
            </w:r>
            <w:r w:rsidRPr="000F2366">
              <w:t>/2</w:t>
            </w:r>
            <w:r w:rsidR="00CE0AC5">
              <w:t>1</w:t>
            </w:r>
          </w:p>
        </w:tc>
        <w:tc>
          <w:tcPr>
            <w:tcW w:w="1218" w:type="dxa"/>
            <w:shd w:val="clear" w:color="auto" w:fill="auto"/>
          </w:tcPr>
          <w:p w:rsidR="00A13C72" w:rsidRPr="000F2366" w:rsidRDefault="00A13C72" w:rsidP="00062F24">
            <w:pPr>
              <w:spacing w:after="0" w:line="240" w:lineRule="auto"/>
              <w:jc w:val="right"/>
            </w:pPr>
            <w:r w:rsidRPr="000F2366">
              <w:t>1,400</w:t>
            </w:r>
          </w:p>
        </w:tc>
        <w:tc>
          <w:tcPr>
            <w:tcW w:w="1131" w:type="dxa"/>
            <w:shd w:val="clear" w:color="auto" w:fill="auto"/>
          </w:tcPr>
          <w:p w:rsidR="00A13C72" w:rsidRPr="000F2366" w:rsidRDefault="00A13C72" w:rsidP="00CC72D5">
            <w:pPr>
              <w:spacing w:after="0" w:line="240" w:lineRule="auto"/>
              <w:jc w:val="right"/>
            </w:pPr>
            <w:r w:rsidRPr="000F2366">
              <w:t>-</w:t>
            </w:r>
          </w:p>
        </w:tc>
        <w:tc>
          <w:tcPr>
            <w:tcW w:w="1186" w:type="dxa"/>
            <w:shd w:val="clear" w:color="auto" w:fill="auto"/>
          </w:tcPr>
          <w:p w:rsidR="00A13C72" w:rsidRPr="000F2366" w:rsidRDefault="00A13C72" w:rsidP="00CC72D5">
            <w:pPr>
              <w:spacing w:after="0" w:line="240" w:lineRule="auto"/>
              <w:jc w:val="right"/>
            </w:pPr>
            <w:r w:rsidRPr="000F2366">
              <w:t>-</w:t>
            </w:r>
          </w:p>
        </w:tc>
        <w:tc>
          <w:tcPr>
            <w:tcW w:w="6966" w:type="dxa"/>
            <w:shd w:val="clear" w:color="auto" w:fill="auto"/>
          </w:tcPr>
          <w:p w:rsidR="00A13C72" w:rsidRPr="00062F24" w:rsidRDefault="00A13C72" w:rsidP="0013113F">
            <w:pPr>
              <w:spacing w:after="0" w:line="240" w:lineRule="auto"/>
            </w:pPr>
            <w:r w:rsidRPr="000F2366">
              <w:t xml:space="preserve">Additional funding </w:t>
            </w:r>
            <w:r w:rsidR="00816DCC" w:rsidRPr="000F2366">
              <w:t xml:space="preserve">to the above, </w:t>
            </w:r>
            <w:r w:rsidRPr="000F2366">
              <w:t>announced in Autumn Statement 2016, to deliver 40,000 extra starts by 2020/21.</w:t>
            </w:r>
          </w:p>
        </w:tc>
      </w:tr>
      <w:tr w:rsidR="00062F24" w:rsidRPr="00062F24" w:rsidTr="006E28ED">
        <w:trPr>
          <w:trHeight w:val="678"/>
        </w:trPr>
        <w:tc>
          <w:tcPr>
            <w:tcW w:w="2035" w:type="dxa"/>
          </w:tcPr>
          <w:p w:rsidR="00062F24" w:rsidRPr="00062F24" w:rsidRDefault="00A13C72" w:rsidP="00062F24">
            <w:pPr>
              <w:spacing w:after="0" w:line="240" w:lineRule="auto"/>
            </w:pPr>
            <w:r>
              <w:t>A</w:t>
            </w:r>
            <w:r w:rsidR="00062F24" w:rsidRPr="00062F24">
              <w:t>ffordable Homes Programme</w:t>
            </w:r>
            <w:r w:rsidR="000F2366">
              <w:t xml:space="preserve"> 2015-18</w:t>
            </w:r>
          </w:p>
        </w:tc>
        <w:tc>
          <w:tcPr>
            <w:tcW w:w="1858" w:type="dxa"/>
          </w:tcPr>
          <w:p w:rsidR="00062F24" w:rsidRPr="00062F24" w:rsidRDefault="00062F24" w:rsidP="00062F24">
            <w:pPr>
              <w:spacing w:after="0" w:line="240" w:lineRule="auto"/>
            </w:pPr>
            <w:r w:rsidRPr="00062F24">
              <w:t>2015/16-2017/18</w:t>
            </w:r>
          </w:p>
        </w:tc>
        <w:tc>
          <w:tcPr>
            <w:tcW w:w="1218" w:type="dxa"/>
          </w:tcPr>
          <w:p w:rsidR="00062F24" w:rsidRDefault="00433222" w:rsidP="00062F24">
            <w:pPr>
              <w:spacing w:after="0" w:line="240" w:lineRule="auto"/>
              <w:jc w:val="right"/>
            </w:pPr>
            <w:r>
              <w:t>1,</w:t>
            </w:r>
            <w:r w:rsidR="000021D9">
              <w:t>500</w:t>
            </w:r>
          </w:p>
          <w:p w:rsidR="00062F24" w:rsidRPr="00062F24" w:rsidRDefault="00062F24" w:rsidP="00062F24">
            <w:pPr>
              <w:spacing w:after="0" w:line="240" w:lineRule="auto"/>
              <w:jc w:val="right"/>
            </w:pPr>
          </w:p>
        </w:tc>
        <w:tc>
          <w:tcPr>
            <w:tcW w:w="1131" w:type="dxa"/>
          </w:tcPr>
          <w:p w:rsidR="00062F24" w:rsidRPr="00062F24" w:rsidRDefault="00805FF2" w:rsidP="00CC72D5">
            <w:pPr>
              <w:spacing w:after="0" w:line="240" w:lineRule="auto"/>
              <w:jc w:val="right"/>
            </w:pPr>
            <w:r>
              <w:t>-</w:t>
            </w:r>
          </w:p>
        </w:tc>
        <w:tc>
          <w:tcPr>
            <w:tcW w:w="1186" w:type="dxa"/>
          </w:tcPr>
          <w:p w:rsidR="00062F24" w:rsidRPr="00062F24" w:rsidRDefault="00062F24" w:rsidP="00CC72D5">
            <w:pPr>
              <w:spacing w:after="0" w:line="240" w:lineRule="auto"/>
              <w:jc w:val="right"/>
            </w:pPr>
            <w:r w:rsidRPr="00062F24">
              <w:t>-</w:t>
            </w:r>
          </w:p>
        </w:tc>
        <w:tc>
          <w:tcPr>
            <w:tcW w:w="6966" w:type="dxa"/>
          </w:tcPr>
          <w:p w:rsidR="00062F24" w:rsidRPr="00062F24" w:rsidRDefault="00062F24" w:rsidP="00A13C72">
            <w:pPr>
              <w:spacing w:after="0" w:line="240" w:lineRule="auto"/>
            </w:pPr>
            <w:r w:rsidRPr="00062F24">
              <w:t xml:space="preserve">Originally ran to 2019/20; </w:t>
            </w:r>
            <w:r w:rsidR="00A13C72">
              <w:t>remaining funding meets</w:t>
            </w:r>
            <w:r w:rsidRPr="00062F24">
              <w:t xml:space="preserve"> existing commitments (i.e. funding contracted)</w:t>
            </w:r>
            <w:r w:rsidR="00816DCC">
              <w:t xml:space="preserve"> to 2017/18</w:t>
            </w:r>
            <w:r w:rsidRPr="00062F24">
              <w:t>.</w:t>
            </w:r>
          </w:p>
        </w:tc>
      </w:tr>
      <w:tr w:rsidR="00062F24" w:rsidRPr="00062F24" w:rsidTr="006E28ED">
        <w:tc>
          <w:tcPr>
            <w:tcW w:w="2035" w:type="dxa"/>
          </w:tcPr>
          <w:p w:rsidR="00062F24" w:rsidRPr="00062F24" w:rsidRDefault="00062F24" w:rsidP="00062F24">
            <w:pPr>
              <w:spacing w:after="0" w:line="240" w:lineRule="auto"/>
            </w:pPr>
            <w:r w:rsidRPr="00062F24">
              <w:t>HRA Borrowing Programme</w:t>
            </w:r>
          </w:p>
        </w:tc>
        <w:tc>
          <w:tcPr>
            <w:tcW w:w="1858" w:type="dxa"/>
          </w:tcPr>
          <w:p w:rsidR="00062F24" w:rsidRPr="00062F24" w:rsidRDefault="00062F24" w:rsidP="00062F24">
            <w:pPr>
              <w:spacing w:after="0" w:line="240" w:lineRule="auto"/>
            </w:pPr>
            <w:r w:rsidRPr="00062F24">
              <w:t>2015/16-2016/17</w:t>
            </w:r>
          </w:p>
        </w:tc>
        <w:tc>
          <w:tcPr>
            <w:tcW w:w="1218" w:type="dxa"/>
          </w:tcPr>
          <w:p w:rsidR="00062F24" w:rsidRPr="00062F24" w:rsidRDefault="00062F24" w:rsidP="00062F24">
            <w:pPr>
              <w:spacing w:after="0" w:line="240" w:lineRule="auto"/>
              <w:jc w:val="right"/>
            </w:pPr>
            <w:r w:rsidRPr="00062F24">
              <w:t>-</w:t>
            </w:r>
          </w:p>
        </w:tc>
        <w:tc>
          <w:tcPr>
            <w:tcW w:w="1131" w:type="dxa"/>
          </w:tcPr>
          <w:p w:rsidR="00062F24" w:rsidRPr="00062F24" w:rsidRDefault="00062F24" w:rsidP="00CC72D5">
            <w:pPr>
              <w:spacing w:after="0" w:line="240" w:lineRule="auto"/>
              <w:jc w:val="right"/>
            </w:pPr>
            <w:r w:rsidRPr="00062F24">
              <w:t>300</w:t>
            </w:r>
          </w:p>
        </w:tc>
        <w:tc>
          <w:tcPr>
            <w:tcW w:w="1186" w:type="dxa"/>
          </w:tcPr>
          <w:p w:rsidR="00062F24" w:rsidRPr="00062F24" w:rsidRDefault="00062F24" w:rsidP="00CC72D5">
            <w:pPr>
              <w:spacing w:after="0" w:line="240" w:lineRule="auto"/>
              <w:jc w:val="right"/>
            </w:pPr>
            <w:r w:rsidRPr="00062F24">
              <w:t>-</w:t>
            </w:r>
          </w:p>
        </w:tc>
        <w:tc>
          <w:tcPr>
            <w:tcW w:w="6966" w:type="dxa"/>
          </w:tcPr>
          <w:p w:rsidR="00062F24" w:rsidRPr="00062F24" w:rsidRDefault="00062F24" w:rsidP="00062F24">
            <w:pPr>
              <w:spacing w:after="0" w:line="240" w:lineRule="auto"/>
            </w:pPr>
            <w:r w:rsidRPr="00062F24">
              <w:t>Additional borrowing headroom for LAs</w:t>
            </w:r>
          </w:p>
        </w:tc>
      </w:tr>
      <w:tr w:rsidR="00062F24" w:rsidRPr="00062F24" w:rsidTr="006E28ED">
        <w:tc>
          <w:tcPr>
            <w:tcW w:w="2035" w:type="dxa"/>
          </w:tcPr>
          <w:p w:rsidR="00062F24" w:rsidRPr="00062F24" w:rsidRDefault="00062F24" w:rsidP="00062F24">
            <w:pPr>
              <w:spacing w:after="0" w:line="240" w:lineRule="auto"/>
            </w:pPr>
            <w:r w:rsidRPr="00062F24">
              <w:t xml:space="preserve">Specialist </w:t>
            </w:r>
            <w:r w:rsidR="008D2F2D" w:rsidRPr="008D2F2D">
              <w:t>Homes for older, disabled and vulnerable people</w:t>
            </w:r>
          </w:p>
        </w:tc>
        <w:tc>
          <w:tcPr>
            <w:tcW w:w="1858" w:type="dxa"/>
          </w:tcPr>
          <w:p w:rsidR="00062F24" w:rsidRPr="00062F24" w:rsidRDefault="00062F24" w:rsidP="0013113F">
            <w:pPr>
              <w:spacing w:after="0" w:line="240" w:lineRule="auto"/>
            </w:pPr>
            <w:r w:rsidRPr="00062F24">
              <w:t>20</w:t>
            </w:r>
            <w:r w:rsidR="0013113F">
              <w:t>16</w:t>
            </w:r>
            <w:r w:rsidRPr="00062F24">
              <w:t>/1</w:t>
            </w:r>
            <w:r w:rsidR="0013113F">
              <w:t>7</w:t>
            </w:r>
            <w:r w:rsidR="005B17EE">
              <w:t>-</w:t>
            </w:r>
            <w:r w:rsidRPr="00062F24">
              <w:t>2020/21</w:t>
            </w:r>
          </w:p>
        </w:tc>
        <w:tc>
          <w:tcPr>
            <w:tcW w:w="1218" w:type="dxa"/>
          </w:tcPr>
          <w:p w:rsidR="00062F24" w:rsidRPr="00062F24" w:rsidDel="00C536DD" w:rsidRDefault="000F2366" w:rsidP="00062F24">
            <w:pPr>
              <w:spacing w:after="0" w:line="240" w:lineRule="auto"/>
              <w:jc w:val="right"/>
            </w:pPr>
            <w:r w:rsidRPr="00CE0AC5">
              <w:t>400</w:t>
            </w:r>
          </w:p>
        </w:tc>
        <w:tc>
          <w:tcPr>
            <w:tcW w:w="1131" w:type="dxa"/>
          </w:tcPr>
          <w:p w:rsidR="00062F24" w:rsidRPr="00062F24" w:rsidRDefault="0013113F" w:rsidP="00CC72D5">
            <w:pPr>
              <w:spacing w:after="0" w:line="240" w:lineRule="auto"/>
              <w:jc w:val="right"/>
            </w:pPr>
            <w:r>
              <w:t>-</w:t>
            </w:r>
          </w:p>
        </w:tc>
        <w:tc>
          <w:tcPr>
            <w:tcW w:w="1186" w:type="dxa"/>
          </w:tcPr>
          <w:p w:rsidR="00062F24" w:rsidRPr="00062F24" w:rsidRDefault="0013113F" w:rsidP="00CC72D5">
            <w:pPr>
              <w:spacing w:after="0" w:line="240" w:lineRule="auto"/>
              <w:jc w:val="right"/>
            </w:pPr>
            <w:r>
              <w:t>-</w:t>
            </w:r>
          </w:p>
        </w:tc>
        <w:tc>
          <w:tcPr>
            <w:tcW w:w="6966" w:type="dxa"/>
          </w:tcPr>
          <w:p w:rsidR="00062F24" w:rsidRPr="00062F24" w:rsidRDefault="008D2F2D" w:rsidP="00CE0AC5">
            <w:pPr>
              <w:spacing w:after="0" w:line="240" w:lineRule="auto"/>
            </w:pPr>
            <w:r>
              <w:t>S</w:t>
            </w:r>
            <w:r w:rsidR="00CE0AC5">
              <w:t>ee SOAHP above - s</w:t>
            </w:r>
            <w:r>
              <w:t>chemes at Affordable Rent or social rent agreed with local commissioning bodies.</w:t>
            </w:r>
          </w:p>
        </w:tc>
      </w:tr>
      <w:tr w:rsidR="00062F24" w:rsidRPr="00062F24" w:rsidTr="006E28ED">
        <w:tc>
          <w:tcPr>
            <w:tcW w:w="2035" w:type="dxa"/>
          </w:tcPr>
          <w:p w:rsidR="00062F24" w:rsidRPr="00062F24" w:rsidRDefault="00062F24" w:rsidP="00062F24">
            <w:pPr>
              <w:spacing w:after="0" w:line="240" w:lineRule="auto"/>
            </w:pPr>
            <w:r w:rsidRPr="00062F24">
              <w:t>Care and support specialised housing fund</w:t>
            </w:r>
          </w:p>
        </w:tc>
        <w:tc>
          <w:tcPr>
            <w:tcW w:w="1858" w:type="dxa"/>
          </w:tcPr>
          <w:p w:rsidR="00062F24" w:rsidRPr="00062F24" w:rsidRDefault="00062F24" w:rsidP="008C3344">
            <w:pPr>
              <w:spacing w:after="0" w:line="240" w:lineRule="auto"/>
            </w:pPr>
            <w:r w:rsidRPr="00AF6E8A">
              <w:t>20</w:t>
            </w:r>
            <w:r w:rsidR="008C3344" w:rsidRPr="00AF6E8A">
              <w:t>13</w:t>
            </w:r>
            <w:r w:rsidRPr="00AF6E8A">
              <w:t>/1</w:t>
            </w:r>
            <w:r w:rsidR="008C3344" w:rsidRPr="00AF6E8A">
              <w:t>4</w:t>
            </w:r>
            <w:r w:rsidRPr="00AF6E8A">
              <w:t>-</w:t>
            </w:r>
            <w:r w:rsidR="008C3344" w:rsidRPr="00AF6E8A">
              <w:t>2017/18</w:t>
            </w:r>
          </w:p>
        </w:tc>
        <w:tc>
          <w:tcPr>
            <w:tcW w:w="1218" w:type="dxa"/>
          </w:tcPr>
          <w:p w:rsidR="00062F24" w:rsidRPr="00062F24" w:rsidRDefault="004E3A1B" w:rsidP="0013113F">
            <w:pPr>
              <w:spacing w:after="0" w:line="240" w:lineRule="auto"/>
              <w:jc w:val="right"/>
            </w:pPr>
            <w:r>
              <w:t>315</w:t>
            </w:r>
          </w:p>
        </w:tc>
        <w:tc>
          <w:tcPr>
            <w:tcW w:w="1131" w:type="dxa"/>
          </w:tcPr>
          <w:p w:rsidR="00062F24" w:rsidRPr="00062F24" w:rsidRDefault="00062F24" w:rsidP="00CC72D5">
            <w:pPr>
              <w:spacing w:after="0" w:line="240" w:lineRule="auto"/>
              <w:jc w:val="right"/>
            </w:pPr>
            <w:r w:rsidRPr="00062F24">
              <w:t>-</w:t>
            </w:r>
          </w:p>
        </w:tc>
        <w:tc>
          <w:tcPr>
            <w:tcW w:w="1186" w:type="dxa"/>
          </w:tcPr>
          <w:p w:rsidR="00062F24" w:rsidRPr="00062F24" w:rsidRDefault="00062F24" w:rsidP="00CC72D5">
            <w:pPr>
              <w:spacing w:after="0" w:line="240" w:lineRule="auto"/>
              <w:jc w:val="right"/>
            </w:pPr>
            <w:r w:rsidRPr="00062F24">
              <w:t>-</w:t>
            </w:r>
          </w:p>
        </w:tc>
        <w:tc>
          <w:tcPr>
            <w:tcW w:w="6966" w:type="dxa"/>
          </w:tcPr>
          <w:p w:rsidR="00062F24" w:rsidRPr="00062F24" w:rsidRDefault="00062F24" w:rsidP="005D0551">
            <w:pPr>
              <w:spacing w:after="0" w:line="240" w:lineRule="auto"/>
            </w:pPr>
            <w:r w:rsidRPr="00062F24">
              <w:t xml:space="preserve">Department of Health </w:t>
            </w:r>
            <w:r w:rsidR="00141F00">
              <w:t>fund</w:t>
            </w:r>
            <w:r w:rsidRPr="00062F24">
              <w:t xml:space="preserve"> </w:t>
            </w:r>
            <w:r w:rsidR="005D0551">
              <w:t>run by HCA for</w:t>
            </w:r>
            <w:r w:rsidRPr="00062F24">
              <w:t xml:space="preserve"> specialised housing for older people, adults with disabilities, </w:t>
            </w:r>
            <w:r w:rsidR="005D0551">
              <w:t>etc</w:t>
            </w:r>
            <w:r w:rsidRPr="00062F24">
              <w:t xml:space="preserve">.  </w:t>
            </w:r>
            <w:r w:rsidR="008C3344">
              <w:t>Covers both Affordable Rent and shared ownership products.</w:t>
            </w:r>
          </w:p>
        </w:tc>
      </w:tr>
      <w:tr w:rsidR="00062F24" w:rsidRPr="0013113F" w:rsidTr="006E28ED">
        <w:tc>
          <w:tcPr>
            <w:tcW w:w="2035" w:type="dxa"/>
          </w:tcPr>
          <w:p w:rsidR="00062F24" w:rsidRPr="005D0551" w:rsidRDefault="00062F24" w:rsidP="00816DCC">
            <w:pPr>
              <w:spacing w:after="0" w:line="240" w:lineRule="auto"/>
              <w:rPr>
                <w:b/>
              </w:rPr>
            </w:pPr>
            <w:r w:rsidRPr="005D0551">
              <w:rPr>
                <w:b/>
              </w:rPr>
              <w:t>Sub-total: Affordable</w:t>
            </w:r>
            <w:r w:rsidR="00816DCC" w:rsidRPr="005D0551">
              <w:rPr>
                <w:b/>
              </w:rPr>
              <w:t xml:space="preserve"> Rent</w:t>
            </w:r>
            <w:r w:rsidRPr="005D0551">
              <w:rPr>
                <w:b/>
              </w:rPr>
              <w:t xml:space="preserve"> </w:t>
            </w:r>
            <w:r w:rsidR="00CC72D5" w:rsidRPr="005D0551">
              <w:rPr>
                <w:b/>
              </w:rPr>
              <w:t xml:space="preserve">and </w:t>
            </w:r>
            <w:r w:rsidR="00816DCC" w:rsidRPr="005D0551">
              <w:rPr>
                <w:b/>
              </w:rPr>
              <w:t>low-cost homeownership</w:t>
            </w:r>
          </w:p>
        </w:tc>
        <w:tc>
          <w:tcPr>
            <w:tcW w:w="1858" w:type="dxa"/>
          </w:tcPr>
          <w:p w:rsidR="00062F24" w:rsidRPr="005D0551" w:rsidRDefault="00062F24" w:rsidP="00062F24">
            <w:pPr>
              <w:spacing w:after="0" w:line="240" w:lineRule="auto"/>
              <w:rPr>
                <w:b/>
              </w:rPr>
            </w:pPr>
          </w:p>
        </w:tc>
        <w:tc>
          <w:tcPr>
            <w:tcW w:w="1218" w:type="dxa"/>
          </w:tcPr>
          <w:p w:rsidR="00062F24" w:rsidRPr="005D0551" w:rsidRDefault="005D0551" w:rsidP="000021D9">
            <w:pPr>
              <w:spacing w:after="0" w:line="240" w:lineRule="auto"/>
              <w:jc w:val="right"/>
              <w:rPr>
                <w:b/>
              </w:rPr>
            </w:pPr>
            <w:r w:rsidRPr="005D0551">
              <w:rPr>
                <w:b/>
              </w:rPr>
              <w:t>7,</w:t>
            </w:r>
            <w:r w:rsidR="000021D9">
              <w:rPr>
                <w:b/>
              </w:rPr>
              <w:t>91</w:t>
            </w:r>
            <w:r w:rsidRPr="005D0551">
              <w:rPr>
                <w:b/>
              </w:rPr>
              <w:t>5</w:t>
            </w:r>
          </w:p>
        </w:tc>
        <w:tc>
          <w:tcPr>
            <w:tcW w:w="1131" w:type="dxa"/>
          </w:tcPr>
          <w:p w:rsidR="00062F24" w:rsidRPr="005D0551" w:rsidRDefault="005D0551" w:rsidP="00CC72D5">
            <w:pPr>
              <w:spacing w:after="0" w:line="240" w:lineRule="auto"/>
              <w:jc w:val="right"/>
              <w:rPr>
                <w:b/>
              </w:rPr>
            </w:pPr>
            <w:r w:rsidRPr="005D0551">
              <w:rPr>
                <w:b/>
              </w:rPr>
              <w:t>300</w:t>
            </w:r>
          </w:p>
        </w:tc>
        <w:tc>
          <w:tcPr>
            <w:tcW w:w="1186" w:type="dxa"/>
          </w:tcPr>
          <w:p w:rsidR="00062F24" w:rsidRPr="0013113F" w:rsidRDefault="005D0551" w:rsidP="00CC72D5">
            <w:pPr>
              <w:spacing w:after="0" w:line="240" w:lineRule="auto"/>
              <w:jc w:val="right"/>
              <w:rPr>
                <w:b/>
              </w:rPr>
            </w:pPr>
            <w:r w:rsidRPr="005D0551">
              <w:rPr>
                <w:b/>
              </w:rPr>
              <w:t>-</w:t>
            </w:r>
          </w:p>
        </w:tc>
        <w:tc>
          <w:tcPr>
            <w:tcW w:w="6966" w:type="dxa"/>
          </w:tcPr>
          <w:p w:rsidR="00062F24" w:rsidRPr="0013113F" w:rsidRDefault="005D0551" w:rsidP="000021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Sub-total = £</w:t>
            </w:r>
            <w:r w:rsidR="000021D9">
              <w:rPr>
                <w:b/>
              </w:rPr>
              <w:t>8,21</w:t>
            </w:r>
            <w:r>
              <w:rPr>
                <w:b/>
              </w:rPr>
              <w:t xml:space="preserve">5 </w:t>
            </w:r>
            <w:r w:rsidR="00AD0FA8">
              <w:rPr>
                <w:b/>
              </w:rPr>
              <w:t>m</w:t>
            </w:r>
            <w:r>
              <w:rPr>
                <w:b/>
              </w:rPr>
              <w:t>illion</w:t>
            </w:r>
            <w:r w:rsidR="00AD0FA8">
              <w:rPr>
                <w:b/>
              </w:rPr>
              <w:t xml:space="preserve"> (1</w:t>
            </w:r>
            <w:r w:rsidR="000021D9">
              <w:rPr>
                <w:b/>
              </w:rPr>
              <w:t>6</w:t>
            </w:r>
            <w:r w:rsidR="00AD0FA8">
              <w:rPr>
                <w:b/>
              </w:rPr>
              <w:t>%)</w:t>
            </w:r>
          </w:p>
        </w:tc>
      </w:tr>
      <w:tr w:rsidR="00141F00" w:rsidRPr="00062F24" w:rsidTr="00103F32">
        <w:tc>
          <w:tcPr>
            <w:tcW w:w="14394" w:type="dxa"/>
            <w:gridSpan w:val="6"/>
          </w:tcPr>
          <w:p w:rsidR="00141F00" w:rsidRPr="00141F00" w:rsidRDefault="00A13C72" w:rsidP="00816D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372697">
              <w:rPr>
                <w:b/>
              </w:rPr>
              <w:t xml:space="preserve">rivate market support </w:t>
            </w:r>
            <w:r>
              <w:rPr>
                <w:b/>
              </w:rPr>
              <w:t xml:space="preserve">and </w:t>
            </w:r>
            <w:r w:rsidR="00816DCC">
              <w:rPr>
                <w:b/>
              </w:rPr>
              <w:t>starter homes</w:t>
            </w:r>
          </w:p>
        </w:tc>
      </w:tr>
      <w:tr w:rsidR="00816DCC" w:rsidRPr="00062F24" w:rsidTr="00FA1ED3">
        <w:tc>
          <w:tcPr>
            <w:tcW w:w="2035" w:type="dxa"/>
            <w:shd w:val="clear" w:color="auto" w:fill="auto"/>
          </w:tcPr>
          <w:p w:rsidR="00816DCC" w:rsidRPr="00062F24" w:rsidRDefault="00816DCC" w:rsidP="00203024">
            <w:pPr>
              <w:spacing w:after="0" w:line="240" w:lineRule="auto"/>
            </w:pPr>
            <w:r>
              <w:t>Housing infrastructure fund</w:t>
            </w:r>
          </w:p>
        </w:tc>
        <w:tc>
          <w:tcPr>
            <w:tcW w:w="1858" w:type="dxa"/>
            <w:shd w:val="clear" w:color="auto" w:fill="auto"/>
          </w:tcPr>
          <w:p w:rsidR="00816DCC" w:rsidRDefault="00816DCC" w:rsidP="00203024">
            <w:pPr>
              <w:spacing w:after="0" w:line="240" w:lineRule="auto"/>
            </w:pPr>
            <w:r>
              <w:t>2017/18-2020/21</w:t>
            </w:r>
          </w:p>
        </w:tc>
        <w:tc>
          <w:tcPr>
            <w:tcW w:w="1218" w:type="dxa"/>
            <w:shd w:val="clear" w:color="auto" w:fill="auto"/>
          </w:tcPr>
          <w:p w:rsidR="00816DCC" w:rsidRPr="00062F24" w:rsidRDefault="00816DCC" w:rsidP="00203024">
            <w:pPr>
              <w:spacing w:after="0" w:line="240" w:lineRule="auto"/>
              <w:jc w:val="right"/>
            </w:pPr>
            <w:r>
              <w:t>2,300</w:t>
            </w:r>
          </w:p>
        </w:tc>
        <w:tc>
          <w:tcPr>
            <w:tcW w:w="1131" w:type="dxa"/>
            <w:shd w:val="clear" w:color="auto" w:fill="auto"/>
          </w:tcPr>
          <w:p w:rsidR="00816DCC" w:rsidRDefault="00816DCC" w:rsidP="0020302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816DCC" w:rsidRDefault="00816DCC" w:rsidP="0020302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66" w:type="dxa"/>
            <w:shd w:val="clear" w:color="auto" w:fill="auto"/>
          </w:tcPr>
          <w:p w:rsidR="00816DCC" w:rsidRPr="00141F00" w:rsidRDefault="00816DCC" w:rsidP="00FA1ED3">
            <w:pPr>
              <w:spacing w:after="0" w:line="240" w:lineRule="auto"/>
            </w:pPr>
            <w:r>
              <w:t xml:space="preserve">Aims </w:t>
            </w:r>
            <w:r w:rsidRPr="00816DCC">
              <w:t>to unlock new housing supply with the potential to deliver up to 100,000 homes</w:t>
            </w:r>
            <w:r>
              <w:t xml:space="preserve">; part of </w:t>
            </w:r>
            <w:r w:rsidRPr="00816DCC">
              <w:t xml:space="preserve">National Productivity Investment </w:t>
            </w:r>
            <w:r w:rsidR="00FA1ED3">
              <w:t>Pipeline</w:t>
            </w:r>
            <w:r>
              <w:t>.</w:t>
            </w:r>
          </w:p>
        </w:tc>
      </w:tr>
      <w:tr w:rsidR="00913538" w:rsidRPr="00062F24" w:rsidTr="00FA1ED3">
        <w:tc>
          <w:tcPr>
            <w:tcW w:w="2035" w:type="dxa"/>
            <w:shd w:val="clear" w:color="auto" w:fill="auto"/>
          </w:tcPr>
          <w:p w:rsidR="00913538" w:rsidRPr="00571541" w:rsidRDefault="00913538" w:rsidP="00203024">
            <w:pPr>
              <w:spacing w:after="0" w:line="240" w:lineRule="auto"/>
            </w:pPr>
            <w:r>
              <w:t xml:space="preserve">Accelerated </w:t>
            </w:r>
            <w:r>
              <w:lastRenderedPageBreak/>
              <w:t>construction</w:t>
            </w:r>
          </w:p>
        </w:tc>
        <w:tc>
          <w:tcPr>
            <w:tcW w:w="1858" w:type="dxa"/>
            <w:shd w:val="clear" w:color="auto" w:fill="auto"/>
          </w:tcPr>
          <w:p w:rsidR="00913538" w:rsidRPr="00571541" w:rsidRDefault="00913538" w:rsidP="00203024">
            <w:pPr>
              <w:spacing w:after="0" w:line="240" w:lineRule="auto"/>
            </w:pPr>
            <w:r w:rsidRPr="00A6799E">
              <w:lastRenderedPageBreak/>
              <w:t>2017/18-2020/21</w:t>
            </w:r>
          </w:p>
        </w:tc>
        <w:tc>
          <w:tcPr>
            <w:tcW w:w="1218" w:type="dxa"/>
            <w:shd w:val="clear" w:color="auto" w:fill="auto"/>
          </w:tcPr>
          <w:p w:rsidR="00913538" w:rsidRPr="00571541" w:rsidRDefault="00FA1ED3" w:rsidP="00203024">
            <w:pPr>
              <w:spacing w:after="0" w:line="240" w:lineRule="auto"/>
              <w:jc w:val="right"/>
            </w:pPr>
            <w:r w:rsidRPr="00CE0AC5">
              <w:t>1,700</w:t>
            </w:r>
          </w:p>
        </w:tc>
        <w:tc>
          <w:tcPr>
            <w:tcW w:w="1131" w:type="dxa"/>
            <w:shd w:val="clear" w:color="auto" w:fill="auto"/>
          </w:tcPr>
          <w:p w:rsidR="00913538" w:rsidRPr="00571541" w:rsidRDefault="00913538" w:rsidP="00203024">
            <w:pPr>
              <w:spacing w:after="0" w:line="240" w:lineRule="auto"/>
              <w:jc w:val="right"/>
            </w:pPr>
            <w:r>
              <w:t>-</w:t>
            </w:r>
          </w:p>
        </w:tc>
        <w:tc>
          <w:tcPr>
            <w:tcW w:w="1186" w:type="dxa"/>
            <w:shd w:val="clear" w:color="auto" w:fill="auto"/>
          </w:tcPr>
          <w:p w:rsidR="00913538" w:rsidRPr="00571541" w:rsidRDefault="00913538" w:rsidP="00203024">
            <w:pPr>
              <w:spacing w:after="0" w:line="240" w:lineRule="auto"/>
              <w:jc w:val="right"/>
            </w:pPr>
            <w:r>
              <w:t>-</w:t>
            </w:r>
          </w:p>
        </w:tc>
        <w:tc>
          <w:tcPr>
            <w:tcW w:w="6966" w:type="dxa"/>
            <w:shd w:val="clear" w:color="auto" w:fill="auto"/>
          </w:tcPr>
          <w:p w:rsidR="00913538" w:rsidRDefault="00913538" w:rsidP="00203024">
            <w:pPr>
              <w:spacing w:after="0" w:line="240" w:lineRule="auto"/>
            </w:pPr>
            <w:r>
              <w:t xml:space="preserve">Aims to speed up house building on public sector land in England through </w:t>
            </w:r>
            <w:r>
              <w:lastRenderedPageBreak/>
              <w:t>partnerships with private sector developers.</w:t>
            </w:r>
          </w:p>
        </w:tc>
      </w:tr>
      <w:tr w:rsidR="00335158" w:rsidRPr="00062F24" w:rsidTr="00FA1ED3">
        <w:tc>
          <w:tcPr>
            <w:tcW w:w="2035" w:type="dxa"/>
            <w:shd w:val="clear" w:color="auto" w:fill="auto"/>
          </w:tcPr>
          <w:p w:rsidR="00335158" w:rsidRPr="00062F24" w:rsidRDefault="00335158" w:rsidP="00203024">
            <w:pPr>
              <w:spacing w:after="0" w:line="240" w:lineRule="auto"/>
            </w:pPr>
            <w:r>
              <w:lastRenderedPageBreak/>
              <w:t>Right to buy – expanded pilot</w:t>
            </w:r>
          </w:p>
        </w:tc>
        <w:tc>
          <w:tcPr>
            <w:tcW w:w="1858" w:type="dxa"/>
            <w:shd w:val="clear" w:color="auto" w:fill="auto"/>
          </w:tcPr>
          <w:p w:rsidR="00335158" w:rsidRDefault="00CE0AC5" w:rsidP="00203024">
            <w:pPr>
              <w:spacing w:after="0" w:line="240" w:lineRule="auto"/>
            </w:pPr>
            <w:r>
              <w:t>2017/18</w:t>
            </w:r>
            <w:r w:rsidRPr="00CE0AC5">
              <w:t>-2020/21</w:t>
            </w:r>
          </w:p>
        </w:tc>
        <w:tc>
          <w:tcPr>
            <w:tcW w:w="1218" w:type="dxa"/>
            <w:shd w:val="clear" w:color="auto" w:fill="auto"/>
          </w:tcPr>
          <w:p w:rsidR="00335158" w:rsidRPr="00062F24" w:rsidRDefault="00335158" w:rsidP="00203024">
            <w:pPr>
              <w:spacing w:after="0" w:line="240" w:lineRule="auto"/>
              <w:jc w:val="right"/>
            </w:pPr>
            <w:r>
              <w:t>250</w:t>
            </w:r>
          </w:p>
        </w:tc>
        <w:tc>
          <w:tcPr>
            <w:tcW w:w="1131" w:type="dxa"/>
            <w:shd w:val="clear" w:color="auto" w:fill="auto"/>
          </w:tcPr>
          <w:p w:rsidR="00335158" w:rsidRDefault="00335158" w:rsidP="0020302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35158" w:rsidRDefault="00335158" w:rsidP="0020302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66" w:type="dxa"/>
            <w:shd w:val="clear" w:color="auto" w:fill="auto"/>
          </w:tcPr>
          <w:p w:rsidR="00335158" w:rsidRPr="00141F00" w:rsidRDefault="00335158" w:rsidP="00A6799E">
            <w:pPr>
              <w:spacing w:after="0" w:line="240" w:lineRule="auto"/>
            </w:pPr>
            <w:r>
              <w:t>Expanded housing association pilot scheme – covers cost of discounts and one-for-one replacement</w:t>
            </w:r>
          </w:p>
        </w:tc>
      </w:tr>
      <w:tr w:rsidR="00816DCC" w:rsidRPr="00062F24" w:rsidTr="00203024">
        <w:tc>
          <w:tcPr>
            <w:tcW w:w="2035" w:type="dxa"/>
          </w:tcPr>
          <w:p w:rsidR="00816DCC" w:rsidRPr="00062F24" w:rsidRDefault="00816DCC" w:rsidP="00203024">
            <w:pPr>
              <w:spacing w:after="0" w:line="240" w:lineRule="auto"/>
            </w:pPr>
            <w:r w:rsidRPr="00062F24">
              <w:t>Starter Homes</w:t>
            </w:r>
          </w:p>
        </w:tc>
        <w:tc>
          <w:tcPr>
            <w:tcW w:w="1858" w:type="dxa"/>
          </w:tcPr>
          <w:p w:rsidR="00816DCC" w:rsidRPr="00062F24" w:rsidRDefault="00816DCC" w:rsidP="00203024">
            <w:pPr>
              <w:spacing w:after="0" w:line="240" w:lineRule="auto"/>
            </w:pPr>
            <w:r>
              <w:t>2016/17-</w:t>
            </w:r>
            <w:r w:rsidRPr="00062F24">
              <w:t>2020/21</w:t>
            </w:r>
          </w:p>
        </w:tc>
        <w:tc>
          <w:tcPr>
            <w:tcW w:w="1218" w:type="dxa"/>
          </w:tcPr>
          <w:p w:rsidR="00816DCC" w:rsidRPr="00062F24" w:rsidRDefault="00816DCC" w:rsidP="00203024">
            <w:pPr>
              <w:spacing w:after="0" w:line="240" w:lineRule="auto"/>
              <w:jc w:val="right"/>
            </w:pPr>
            <w:r w:rsidRPr="00062F24">
              <w:t xml:space="preserve">2,300 </w:t>
            </w:r>
          </w:p>
        </w:tc>
        <w:tc>
          <w:tcPr>
            <w:tcW w:w="1131" w:type="dxa"/>
          </w:tcPr>
          <w:p w:rsidR="00816DCC" w:rsidRPr="00062F24" w:rsidRDefault="00816DCC" w:rsidP="0020302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6" w:type="dxa"/>
          </w:tcPr>
          <w:p w:rsidR="00816DCC" w:rsidRPr="00062F24" w:rsidRDefault="00816DCC" w:rsidP="0020302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66" w:type="dxa"/>
          </w:tcPr>
          <w:p w:rsidR="00816DCC" w:rsidRPr="00062F24" w:rsidRDefault="00816DCC" w:rsidP="005D0551">
            <w:pPr>
              <w:spacing w:after="0" w:line="240" w:lineRule="auto"/>
            </w:pPr>
            <w:r w:rsidRPr="00141F00">
              <w:t xml:space="preserve">Land facilitation and direct delivery to builders and LAs to help develop </w:t>
            </w:r>
            <w:r>
              <w:t>up to 60</w:t>
            </w:r>
            <w:r w:rsidRPr="00141F00">
              <w:t>,000 starter homes</w:t>
            </w:r>
            <w:r>
              <w:t xml:space="preserve">. £2.3bn grant figure assumes some recycling of receipts from land facilitated. </w:t>
            </w:r>
          </w:p>
        </w:tc>
      </w:tr>
      <w:tr w:rsidR="00062F24" w:rsidRPr="00062F24" w:rsidTr="006E28ED">
        <w:tc>
          <w:tcPr>
            <w:tcW w:w="2035" w:type="dxa"/>
          </w:tcPr>
          <w:p w:rsidR="00062F24" w:rsidRPr="00571541" w:rsidRDefault="00062F24" w:rsidP="00062F24">
            <w:pPr>
              <w:spacing w:after="0" w:line="240" w:lineRule="auto"/>
            </w:pPr>
            <w:r w:rsidRPr="00571541">
              <w:t>Help to Buy Equity Loan scheme(s)</w:t>
            </w:r>
          </w:p>
        </w:tc>
        <w:tc>
          <w:tcPr>
            <w:tcW w:w="1858" w:type="dxa"/>
          </w:tcPr>
          <w:p w:rsidR="00062F24" w:rsidRPr="00571541" w:rsidRDefault="00062F24" w:rsidP="00062F24">
            <w:pPr>
              <w:spacing w:after="0" w:line="240" w:lineRule="auto"/>
            </w:pPr>
            <w:r w:rsidRPr="00571541">
              <w:t>2013/14-2020/21</w:t>
            </w:r>
          </w:p>
        </w:tc>
        <w:tc>
          <w:tcPr>
            <w:tcW w:w="1218" w:type="dxa"/>
          </w:tcPr>
          <w:p w:rsidR="00062F24" w:rsidRPr="00571541" w:rsidRDefault="00062F24" w:rsidP="00062F24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1131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12</w:t>
            </w:r>
            <w:r>
              <w:t>,500</w:t>
            </w:r>
          </w:p>
        </w:tc>
        <w:tc>
          <w:tcPr>
            <w:tcW w:w="1186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6966" w:type="dxa"/>
          </w:tcPr>
          <w:p w:rsidR="00B965D9" w:rsidRDefault="00B965D9" w:rsidP="00B965D9">
            <w:pPr>
              <w:rPr>
                <w:rFonts w:ascii="Calibri" w:hAnsi="Calibri"/>
              </w:rPr>
            </w:pPr>
            <w:r>
              <w:t xml:space="preserve">Equity loan </w:t>
            </w:r>
            <w:r>
              <w:rPr>
                <w:color w:val="000000"/>
              </w:rPr>
              <w:t>support of up to 20% for individual homebuyers including the new London Help to Buy equity loan of up to 40%.</w:t>
            </w:r>
          </w:p>
          <w:p w:rsidR="00062F24" w:rsidRPr="00571541" w:rsidRDefault="00062F24" w:rsidP="00062F24">
            <w:pPr>
              <w:spacing w:after="0" w:line="240" w:lineRule="auto"/>
            </w:pPr>
          </w:p>
        </w:tc>
      </w:tr>
      <w:tr w:rsidR="00062F24" w:rsidRPr="00062F24" w:rsidTr="006E28ED">
        <w:tc>
          <w:tcPr>
            <w:tcW w:w="2035" w:type="dxa"/>
          </w:tcPr>
          <w:p w:rsidR="00062F24" w:rsidRPr="00571541" w:rsidRDefault="00062F24" w:rsidP="003135A1">
            <w:pPr>
              <w:spacing w:after="0" w:line="240" w:lineRule="auto"/>
            </w:pPr>
            <w:r w:rsidRPr="00571541">
              <w:t>Help to Buy Mortgage Guarantee</w:t>
            </w:r>
            <w:r w:rsidR="00DD1893">
              <w:t xml:space="preserve"> </w:t>
            </w:r>
          </w:p>
        </w:tc>
        <w:tc>
          <w:tcPr>
            <w:tcW w:w="1858" w:type="dxa"/>
          </w:tcPr>
          <w:p w:rsidR="00062F24" w:rsidRPr="00571541" w:rsidRDefault="00062F24" w:rsidP="00062F24">
            <w:pPr>
              <w:spacing w:after="0" w:line="240" w:lineRule="auto"/>
              <w:jc w:val="center"/>
            </w:pPr>
            <w:r>
              <w:t>2013/</w:t>
            </w:r>
            <w:r w:rsidRPr="00571541">
              <w:t>2014-</w:t>
            </w:r>
            <w:r>
              <w:t>20</w:t>
            </w:r>
            <w:r w:rsidRPr="00571541">
              <w:t>16</w:t>
            </w:r>
            <w:r>
              <w:t>/17</w:t>
            </w:r>
          </w:p>
        </w:tc>
        <w:tc>
          <w:tcPr>
            <w:tcW w:w="1218" w:type="dxa"/>
          </w:tcPr>
          <w:p w:rsidR="00062F24" w:rsidRPr="00571541" w:rsidRDefault="00062F24" w:rsidP="00062F24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1131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1186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12</w:t>
            </w:r>
            <w:r>
              <w:t>,000 maximum</w:t>
            </w:r>
          </w:p>
        </w:tc>
        <w:tc>
          <w:tcPr>
            <w:tcW w:w="6966" w:type="dxa"/>
          </w:tcPr>
          <w:p w:rsidR="00062F24" w:rsidRPr="00571541" w:rsidRDefault="00B965D9" w:rsidP="00805FF2">
            <w:pPr>
              <w:spacing w:after="0" w:line="240" w:lineRule="auto"/>
            </w:pPr>
            <w:r>
              <w:t>Mortgage guarantees: £12 billion represents the cap on government liability. Claims must be made within 7 years of the completion date.</w:t>
            </w:r>
            <w:r w:rsidR="00B2474B">
              <w:t xml:space="preserve"> Scheme closed 31 December 2016</w:t>
            </w:r>
            <w:r w:rsidR="00FA1ED3">
              <w:t>.</w:t>
            </w:r>
          </w:p>
        </w:tc>
      </w:tr>
      <w:tr w:rsidR="00062F24" w:rsidRPr="00062F24" w:rsidTr="006E28ED">
        <w:trPr>
          <w:trHeight w:val="622"/>
        </w:trPr>
        <w:tc>
          <w:tcPr>
            <w:tcW w:w="2035" w:type="dxa"/>
          </w:tcPr>
          <w:p w:rsidR="00062F24" w:rsidRPr="00571541" w:rsidRDefault="00062F24" w:rsidP="003135A1">
            <w:pPr>
              <w:spacing w:after="0" w:line="240" w:lineRule="auto"/>
            </w:pPr>
            <w:r w:rsidRPr="00571541">
              <w:t>Help to Buy ISA</w:t>
            </w:r>
            <w:r w:rsidR="00F776E2">
              <w:t xml:space="preserve"> </w:t>
            </w:r>
          </w:p>
        </w:tc>
        <w:tc>
          <w:tcPr>
            <w:tcW w:w="1858" w:type="dxa"/>
          </w:tcPr>
          <w:p w:rsidR="00062F24" w:rsidRPr="003C3C80" w:rsidRDefault="00062F24" w:rsidP="003C3C80">
            <w:pPr>
              <w:spacing w:after="0" w:line="240" w:lineRule="auto"/>
              <w:jc w:val="center"/>
            </w:pPr>
            <w:r w:rsidRPr="00571541">
              <w:t>2015/2016- 20</w:t>
            </w:r>
            <w:r>
              <w:t>19</w:t>
            </w:r>
            <w:r w:rsidRPr="00571541">
              <w:t>/20</w:t>
            </w:r>
          </w:p>
        </w:tc>
        <w:tc>
          <w:tcPr>
            <w:tcW w:w="1218" w:type="dxa"/>
          </w:tcPr>
          <w:p w:rsidR="00062F24" w:rsidRDefault="00062F24" w:rsidP="00062F24">
            <w:pPr>
              <w:spacing w:after="0" w:line="240" w:lineRule="auto"/>
              <w:jc w:val="right"/>
            </w:pPr>
            <w:r w:rsidRPr="00CB697B">
              <w:t>2,200</w:t>
            </w:r>
          </w:p>
          <w:p w:rsidR="00062F24" w:rsidRPr="00571541" w:rsidRDefault="00062F24" w:rsidP="003C3C80">
            <w:pPr>
              <w:spacing w:after="0" w:line="240" w:lineRule="auto"/>
            </w:pPr>
          </w:p>
        </w:tc>
        <w:tc>
          <w:tcPr>
            <w:tcW w:w="1131" w:type="dxa"/>
          </w:tcPr>
          <w:p w:rsidR="00062F24" w:rsidRPr="00571541" w:rsidRDefault="003C3C80" w:rsidP="00CC72D5">
            <w:pPr>
              <w:spacing w:after="0" w:line="240" w:lineRule="auto"/>
              <w:jc w:val="right"/>
            </w:pPr>
            <w:r>
              <w:t>-</w:t>
            </w:r>
          </w:p>
        </w:tc>
        <w:tc>
          <w:tcPr>
            <w:tcW w:w="1186" w:type="dxa"/>
          </w:tcPr>
          <w:p w:rsidR="00062F24" w:rsidRPr="00571541" w:rsidRDefault="003C3C80" w:rsidP="00CC72D5">
            <w:pPr>
              <w:spacing w:after="0" w:line="240" w:lineRule="auto"/>
              <w:jc w:val="right"/>
            </w:pPr>
            <w:r>
              <w:t>-</w:t>
            </w:r>
          </w:p>
        </w:tc>
        <w:tc>
          <w:tcPr>
            <w:tcW w:w="6966" w:type="dxa"/>
          </w:tcPr>
          <w:p w:rsidR="00062F24" w:rsidRPr="00BE6267" w:rsidRDefault="00B965D9" w:rsidP="00062F24">
            <w:pPr>
              <w:spacing w:after="0" w:line="240" w:lineRule="auto"/>
            </w:pPr>
            <w:r w:rsidRPr="00CB697B">
              <w:t>Government bonus</w:t>
            </w:r>
            <w:r>
              <w:t xml:space="preserve"> of up to £3,000 per ISA held by FTBs; for homes to a value of up to £250k (up to £450k in London).</w:t>
            </w:r>
            <w:r w:rsidR="003135A1">
              <w:t xml:space="preserve"> HM Treasury-led scheme. Budget figure taken from Budget 2016.</w:t>
            </w:r>
          </w:p>
        </w:tc>
      </w:tr>
      <w:tr w:rsidR="00062F24" w:rsidRPr="00062F24" w:rsidTr="00CB697B">
        <w:tc>
          <w:tcPr>
            <w:tcW w:w="2035" w:type="dxa"/>
          </w:tcPr>
          <w:p w:rsidR="00062F24" w:rsidRPr="00571541" w:rsidRDefault="00372697" w:rsidP="003135A1">
            <w:pPr>
              <w:spacing w:after="0" w:line="240" w:lineRule="auto"/>
            </w:pPr>
            <w:r w:rsidRPr="00372697">
              <w:t>Lifetime ISA</w:t>
            </w:r>
            <w:r w:rsidR="00F776E2">
              <w:t xml:space="preserve"> </w:t>
            </w:r>
          </w:p>
        </w:tc>
        <w:tc>
          <w:tcPr>
            <w:tcW w:w="1858" w:type="dxa"/>
          </w:tcPr>
          <w:p w:rsidR="00062F24" w:rsidRPr="00571541" w:rsidRDefault="00372697" w:rsidP="00B965D9">
            <w:pPr>
              <w:spacing w:after="0" w:line="240" w:lineRule="auto"/>
              <w:jc w:val="center"/>
            </w:pPr>
            <w:r w:rsidRPr="00372697">
              <w:t>201</w:t>
            </w:r>
            <w:r w:rsidR="00B965D9">
              <w:t>7/18 on</w:t>
            </w:r>
            <w:r w:rsidR="003135A1">
              <w:t>wards</w:t>
            </w:r>
          </w:p>
        </w:tc>
        <w:tc>
          <w:tcPr>
            <w:tcW w:w="1218" w:type="dxa"/>
            <w:shd w:val="clear" w:color="auto" w:fill="auto"/>
          </w:tcPr>
          <w:p w:rsidR="00062F24" w:rsidRPr="00571541" w:rsidRDefault="00372697" w:rsidP="00062F24">
            <w:pPr>
              <w:spacing w:after="0" w:line="240" w:lineRule="auto"/>
              <w:jc w:val="right"/>
            </w:pPr>
            <w:r w:rsidRPr="00CB697B">
              <w:t>2,000</w:t>
            </w:r>
          </w:p>
        </w:tc>
        <w:tc>
          <w:tcPr>
            <w:tcW w:w="1131" w:type="dxa"/>
          </w:tcPr>
          <w:p w:rsidR="00062F24" w:rsidRPr="00571541" w:rsidRDefault="003C3C80" w:rsidP="00CC72D5">
            <w:pPr>
              <w:spacing w:after="0" w:line="240" w:lineRule="auto"/>
              <w:jc w:val="right"/>
            </w:pPr>
            <w:r>
              <w:t>-</w:t>
            </w:r>
          </w:p>
        </w:tc>
        <w:tc>
          <w:tcPr>
            <w:tcW w:w="1186" w:type="dxa"/>
          </w:tcPr>
          <w:p w:rsidR="00062F24" w:rsidRPr="00571541" w:rsidRDefault="003C3C80" w:rsidP="00CC72D5">
            <w:pPr>
              <w:spacing w:after="0" w:line="240" w:lineRule="auto"/>
              <w:jc w:val="right"/>
            </w:pPr>
            <w:r>
              <w:t>-</w:t>
            </w:r>
          </w:p>
        </w:tc>
        <w:tc>
          <w:tcPr>
            <w:tcW w:w="6966" w:type="dxa"/>
          </w:tcPr>
          <w:p w:rsidR="00062F24" w:rsidRPr="00571541" w:rsidRDefault="00B965D9" w:rsidP="003135A1">
            <w:pPr>
              <w:spacing w:after="0" w:line="240" w:lineRule="auto"/>
            </w:pPr>
            <w:r>
              <w:t>Potential FTBs aged 18-40 can pay in £4,000 per year and receive 25% bonus</w:t>
            </w:r>
            <w:r>
              <w:rPr>
                <w:color w:val="1F497D"/>
              </w:rPr>
              <w:t xml:space="preserve">. </w:t>
            </w:r>
            <w:r w:rsidR="003135A1">
              <w:t>HM Treasury-led scheme. Budget figure taken from Budget 2016.</w:t>
            </w:r>
          </w:p>
        </w:tc>
      </w:tr>
      <w:tr w:rsidR="006E28ED" w:rsidRPr="00062F24" w:rsidTr="006E28ED">
        <w:tc>
          <w:tcPr>
            <w:tcW w:w="2035" w:type="dxa"/>
          </w:tcPr>
          <w:p w:rsidR="006E28ED" w:rsidRPr="00571541" w:rsidRDefault="006E28ED" w:rsidP="00062F24">
            <w:pPr>
              <w:spacing w:after="0" w:line="240" w:lineRule="auto"/>
            </w:pPr>
            <w:r w:rsidRPr="00062F24">
              <w:t>Rent to Buy</w:t>
            </w:r>
          </w:p>
        </w:tc>
        <w:tc>
          <w:tcPr>
            <w:tcW w:w="1858" w:type="dxa"/>
          </w:tcPr>
          <w:p w:rsidR="006E28ED" w:rsidRPr="00571541" w:rsidRDefault="006E28ED" w:rsidP="00062F24">
            <w:pPr>
              <w:spacing w:after="0" w:line="240" w:lineRule="auto"/>
              <w:jc w:val="center"/>
            </w:pPr>
            <w:r w:rsidRPr="00062F24">
              <w:t>2015/16-2020/21</w:t>
            </w:r>
          </w:p>
        </w:tc>
        <w:tc>
          <w:tcPr>
            <w:tcW w:w="1218" w:type="dxa"/>
          </w:tcPr>
          <w:p w:rsidR="006E28ED" w:rsidRPr="00571541" w:rsidRDefault="006E28ED" w:rsidP="00062F24">
            <w:pPr>
              <w:spacing w:after="0" w:line="240" w:lineRule="auto"/>
              <w:jc w:val="right"/>
            </w:pPr>
            <w:r w:rsidRPr="00062F24">
              <w:t>200</w:t>
            </w:r>
          </w:p>
        </w:tc>
        <w:tc>
          <w:tcPr>
            <w:tcW w:w="1131" w:type="dxa"/>
          </w:tcPr>
          <w:p w:rsidR="006E28ED" w:rsidRPr="00571541" w:rsidRDefault="006E28ED" w:rsidP="00CC72D5">
            <w:pPr>
              <w:spacing w:after="0" w:line="240" w:lineRule="auto"/>
              <w:jc w:val="right"/>
            </w:pPr>
            <w:r w:rsidRPr="00062F24">
              <w:t>200</w:t>
            </w:r>
          </w:p>
        </w:tc>
        <w:tc>
          <w:tcPr>
            <w:tcW w:w="1186" w:type="dxa"/>
          </w:tcPr>
          <w:p w:rsidR="006E28ED" w:rsidRDefault="006E28ED" w:rsidP="00CC72D5">
            <w:pPr>
              <w:spacing w:after="0" w:line="240" w:lineRule="auto"/>
              <w:jc w:val="right"/>
            </w:pPr>
            <w:r w:rsidRPr="00062F24">
              <w:t>-</w:t>
            </w:r>
          </w:p>
        </w:tc>
        <w:tc>
          <w:tcPr>
            <w:tcW w:w="6966" w:type="dxa"/>
          </w:tcPr>
          <w:p w:rsidR="006E28ED" w:rsidRPr="00571541" w:rsidRDefault="006E28ED" w:rsidP="00062F24">
            <w:pPr>
              <w:spacing w:after="0" w:line="240" w:lineRule="auto"/>
            </w:pPr>
            <w:r>
              <w:t>Support for intermediate rent homes let for a minimum 5-year term</w:t>
            </w:r>
          </w:p>
        </w:tc>
      </w:tr>
      <w:tr w:rsidR="00062F24" w:rsidRPr="00062F24" w:rsidTr="006E28ED">
        <w:tc>
          <w:tcPr>
            <w:tcW w:w="2035" w:type="dxa"/>
          </w:tcPr>
          <w:p w:rsidR="00062F24" w:rsidRPr="00571541" w:rsidRDefault="00062F24" w:rsidP="00062F24">
            <w:pPr>
              <w:spacing w:after="0" w:line="240" w:lineRule="auto"/>
            </w:pPr>
            <w:r w:rsidRPr="00571541">
              <w:t>PRS Guarantee</w:t>
            </w:r>
          </w:p>
        </w:tc>
        <w:tc>
          <w:tcPr>
            <w:tcW w:w="1858" w:type="dxa"/>
          </w:tcPr>
          <w:p w:rsidR="00062F24" w:rsidRPr="00571541" w:rsidRDefault="005B17EE" w:rsidP="00062F24">
            <w:pPr>
              <w:spacing w:after="0" w:line="240" w:lineRule="auto"/>
              <w:jc w:val="center"/>
            </w:pPr>
            <w:r>
              <w:t>2013/14-</w:t>
            </w:r>
            <w:r w:rsidR="00062F24">
              <w:t>2017/18</w:t>
            </w:r>
            <w:r w:rsidR="00062F24" w:rsidRPr="00571541">
              <w:t xml:space="preserve"> </w:t>
            </w:r>
          </w:p>
        </w:tc>
        <w:tc>
          <w:tcPr>
            <w:tcW w:w="1218" w:type="dxa"/>
          </w:tcPr>
          <w:p w:rsidR="00062F24" w:rsidRPr="00571541" w:rsidRDefault="00062F24" w:rsidP="00062F24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1131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1186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>
              <w:t>3,500</w:t>
            </w:r>
          </w:p>
        </w:tc>
        <w:tc>
          <w:tcPr>
            <w:tcW w:w="6966" w:type="dxa"/>
          </w:tcPr>
          <w:p w:rsidR="00062F24" w:rsidRPr="00571541" w:rsidRDefault="00062F24" w:rsidP="00062F24">
            <w:pPr>
              <w:spacing w:after="0" w:line="240" w:lineRule="auto"/>
            </w:pPr>
            <w:r w:rsidRPr="00571541">
              <w:t>Guarantees for bond finance for new build rented homes</w:t>
            </w:r>
            <w:r w:rsidR="003C3C80">
              <w:t>.</w:t>
            </w:r>
          </w:p>
        </w:tc>
      </w:tr>
      <w:tr w:rsidR="005B17EE" w:rsidRPr="00062F24" w:rsidTr="006E28ED">
        <w:trPr>
          <w:trHeight w:val="431"/>
        </w:trPr>
        <w:tc>
          <w:tcPr>
            <w:tcW w:w="2035" w:type="dxa"/>
          </w:tcPr>
          <w:p w:rsidR="005B17EE" w:rsidRPr="00062F24" w:rsidRDefault="005B17EE" w:rsidP="00203024">
            <w:pPr>
              <w:spacing w:after="0" w:line="240" w:lineRule="auto"/>
            </w:pPr>
            <w:r w:rsidRPr="00062F24">
              <w:t>Estates Regeneration Programme</w:t>
            </w:r>
          </w:p>
        </w:tc>
        <w:tc>
          <w:tcPr>
            <w:tcW w:w="1858" w:type="dxa"/>
          </w:tcPr>
          <w:p w:rsidR="005B17EE" w:rsidRPr="00062F24" w:rsidRDefault="005B17EE" w:rsidP="00203024">
            <w:pPr>
              <w:spacing w:after="0" w:line="240" w:lineRule="auto"/>
            </w:pPr>
            <w:r w:rsidRPr="00062F24">
              <w:t>201</w:t>
            </w:r>
            <w:r>
              <w:t>6</w:t>
            </w:r>
            <w:r w:rsidRPr="00062F24">
              <w:t>/1</w:t>
            </w:r>
            <w:r>
              <w:t>7</w:t>
            </w:r>
            <w:r w:rsidRPr="00062F24">
              <w:t>-20</w:t>
            </w:r>
            <w:r>
              <w:t>20</w:t>
            </w:r>
            <w:r w:rsidRPr="00062F24">
              <w:t>/</w:t>
            </w:r>
            <w:r>
              <w:t>21</w:t>
            </w:r>
          </w:p>
        </w:tc>
        <w:tc>
          <w:tcPr>
            <w:tcW w:w="1218" w:type="dxa"/>
          </w:tcPr>
          <w:p w:rsidR="005B17EE" w:rsidRPr="00062F24" w:rsidRDefault="00FA1ED3" w:rsidP="00203024">
            <w:pPr>
              <w:spacing w:after="0" w:line="240" w:lineRule="auto"/>
              <w:jc w:val="right"/>
            </w:pPr>
            <w:r w:rsidRPr="00CE0AC5">
              <w:t>32</w:t>
            </w:r>
          </w:p>
        </w:tc>
        <w:tc>
          <w:tcPr>
            <w:tcW w:w="1131" w:type="dxa"/>
          </w:tcPr>
          <w:p w:rsidR="005B17EE" w:rsidRPr="00062F24" w:rsidRDefault="005B17EE" w:rsidP="00203024">
            <w:pPr>
              <w:spacing w:after="0" w:line="240" w:lineRule="auto"/>
              <w:jc w:val="right"/>
            </w:pPr>
            <w:r>
              <w:t>140</w:t>
            </w:r>
          </w:p>
        </w:tc>
        <w:tc>
          <w:tcPr>
            <w:tcW w:w="1186" w:type="dxa"/>
          </w:tcPr>
          <w:p w:rsidR="005B17EE" w:rsidRPr="00062F24" w:rsidRDefault="005B17EE" w:rsidP="00203024">
            <w:pPr>
              <w:spacing w:after="0" w:line="240" w:lineRule="auto"/>
              <w:jc w:val="right"/>
            </w:pPr>
            <w:r w:rsidRPr="00062F24">
              <w:t>-</w:t>
            </w:r>
          </w:p>
        </w:tc>
        <w:tc>
          <w:tcPr>
            <w:tcW w:w="6966" w:type="dxa"/>
          </w:tcPr>
          <w:p w:rsidR="005B17EE" w:rsidRPr="00062F24" w:rsidRDefault="005B17EE" w:rsidP="00FA1ED3">
            <w:pPr>
              <w:spacing w:after="0" w:line="240" w:lineRule="auto"/>
            </w:pPr>
            <w:r w:rsidRPr="00062F24">
              <w:t xml:space="preserve">Repayable loans to redevelop estates </w:t>
            </w:r>
            <w:r w:rsidR="00FA1ED3">
              <w:t>plus £32 million in grants announced</w:t>
            </w:r>
            <w:r w:rsidR="003F40EC">
              <w:t xml:space="preserve"> in</w:t>
            </w:r>
            <w:r w:rsidR="00FA1ED3">
              <w:t xml:space="preserve"> December 2016</w:t>
            </w:r>
            <w:r>
              <w:t>. Schemes vary considerably and can encompass affordable housing, low-cost homeownership and private market sale units.</w:t>
            </w:r>
          </w:p>
        </w:tc>
      </w:tr>
      <w:tr w:rsidR="00062F24" w:rsidRPr="00062F24" w:rsidTr="006E28ED">
        <w:trPr>
          <w:trHeight w:val="722"/>
        </w:trPr>
        <w:tc>
          <w:tcPr>
            <w:tcW w:w="2035" w:type="dxa"/>
          </w:tcPr>
          <w:p w:rsidR="00062F24" w:rsidRPr="00571541" w:rsidRDefault="00062F24" w:rsidP="00062F24">
            <w:pPr>
              <w:spacing w:after="0" w:line="240" w:lineRule="auto"/>
            </w:pPr>
            <w:r>
              <w:t xml:space="preserve">Home Building </w:t>
            </w:r>
            <w:r w:rsidR="00BE6267">
              <w:t xml:space="preserve"> Fund</w:t>
            </w:r>
          </w:p>
        </w:tc>
        <w:tc>
          <w:tcPr>
            <w:tcW w:w="1858" w:type="dxa"/>
          </w:tcPr>
          <w:p w:rsidR="00062F24" w:rsidRPr="00571541" w:rsidRDefault="005B17EE" w:rsidP="005B17EE">
            <w:pPr>
              <w:spacing w:after="0" w:line="240" w:lineRule="auto"/>
              <w:jc w:val="center"/>
            </w:pPr>
            <w:r>
              <w:t>2016/17-</w:t>
            </w:r>
            <w:r w:rsidR="00062F24" w:rsidRPr="00571541">
              <w:t>2020/21</w:t>
            </w:r>
          </w:p>
        </w:tc>
        <w:tc>
          <w:tcPr>
            <w:tcW w:w="1218" w:type="dxa"/>
          </w:tcPr>
          <w:p w:rsidR="00062F24" w:rsidRPr="00571541" w:rsidRDefault="00F82916" w:rsidP="00062F24">
            <w:pPr>
              <w:spacing w:after="0" w:line="240" w:lineRule="auto"/>
              <w:jc w:val="right"/>
            </w:pPr>
            <w:r>
              <w:t>-</w:t>
            </w:r>
          </w:p>
        </w:tc>
        <w:tc>
          <w:tcPr>
            <w:tcW w:w="1131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>
              <w:t>3,000</w:t>
            </w:r>
          </w:p>
        </w:tc>
        <w:tc>
          <w:tcPr>
            <w:tcW w:w="1186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6966" w:type="dxa"/>
          </w:tcPr>
          <w:p w:rsidR="00062F24" w:rsidRPr="00571541" w:rsidRDefault="00F82916" w:rsidP="00F82916">
            <w:pPr>
              <w:spacing w:after="0" w:line="240" w:lineRule="auto"/>
            </w:pPr>
            <w:r>
              <w:t>A flexible source of loan funding able to provide development finance - the development costs of building for sale or rent - and infrastructure finance - for site preparation and infrastructure requirements.</w:t>
            </w:r>
          </w:p>
        </w:tc>
      </w:tr>
      <w:tr w:rsidR="00062F24" w:rsidRPr="00062F24" w:rsidTr="006E28ED">
        <w:tc>
          <w:tcPr>
            <w:tcW w:w="2035" w:type="dxa"/>
          </w:tcPr>
          <w:p w:rsidR="00062F24" w:rsidRPr="00571541" w:rsidRDefault="00062F24" w:rsidP="003C3C80">
            <w:pPr>
              <w:spacing w:after="0" w:line="240" w:lineRule="auto"/>
            </w:pPr>
            <w:r w:rsidRPr="00571541">
              <w:t xml:space="preserve">Local </w:t>
            </w:r>
            <w:r>
              <w:t>Infrastructure</w:t>
            </w:r>
            <w:r w:rsidRPr="00571541">
              <w:t xml:space="preserve"> Fund </w:t>
            </w:r>
          </w:p>
        </w:tc>
        <w:tc>
          <w:tcPr>
            <w:tcW w:w="1858" w:type="dxa"/>
          </w:tcPr>
          <w:p w:rsidR="00062F24" w:rsidRPr="00571541" w:rsidRDefault="005B17EE" w:rsidP="005B17EE">
            <w:pPr>
              <w:spacing w:after="0" w:line="240" w:lineRule="auto"/>
              <w:jc w:val="center"/>
            </w:pPr>
            <w:r>
              <w:t>2015/16-</w:t>
            </w:r>
            <w:r w:rsidR="00062F24" w:rsidRPr="00571541">
              <w:t>2020/21</w:t>
            </w:r>
          </w:p>
        </w:tc>
        <w:tc>
          <w:tcPr>
            <w:tcW w:w="1218" w:type="dxa"/>
          </w:tcPr>
          <w:p w:rsidR="00062F24" w:rsidRPr="00571541" w:rsidRDefault="00062F24" w:rsidP="00062F24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1131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>
              <w:t>50</w:t>
            </w:r>
          </w:p>
        </w:tc>
        <w:tc>
          <w:tcPr>
            <w:tcW w:w="1186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6966" w:type="dxa"/>
          </w:tcPr>
          <w:p w:rsidR="00062F24" w:rsidRDefault="003C3C80" w:rsidP="00062F24">
            <w:pPr>
              <w:spacing w:after="0" w:line="240" w:lineRule="auto"/>
            </w:pPr>
            <w:r>
              <w:t>One element of £12 billion Local Growth Fund</w:t>
            </w:r>
            <w:r w:rsidR="00062F24" w:rsidRPr="000C7459">
              <w:t>.</w:t>
            </w:r>
          </w:p>
          <w:p w:rsidR="00062F24" w:rsidRPr="00571541" w:rsidRDefault="00062F24" w:rsidP="003C3C80">
            <w:pPr>
              <w:spacing w:after="0" w:line="240" w:lineRule="auto"/>
            </w:pPr>
          </w:p>
        </w:tc>
      </w:tr>
      <w:tr w:rsidR="00062F24" w:rsidRPr="00062F24" w:rsidTr="006E28ED">
        <w:tc>
          <w:tcPr>
            <w:tcW w:w="2035" w:type="dxa"/>
          </w:tcPr>
          <w:p w:rsidR="00062F24" w:rsidRPr="00571541" w:rsidRDefault="00062F24" w:rsidP="00062F24">
            <w:pPr>
              <w:spacing w:after="0" w:line="240" w:lineRule="auto"/>
            </w:pPr>
            <w:r w:rsidRPr="00571541">
              <w:t xml:space="preserve">Locally-Led </w:t>
            </w:r>
            <w:smartTag w:uri="urn:schemas-microsoft-com:office:smarttags" w:element="PlaceType">
              <w:r w:rsidRPr="00571541">
                <w:t>Garden</w:t>
              </w:r>
            </w:smartTag>
            <w:r w:rsidRPr="00571541">
              <w:t xml:space="preserve"> Cities</w:t>
            </w:r>
          </w:p>
        </w:tc>
        <w:tc>
          <w:tcPr>
            <w:tcW w:w="1858" w:type="dxa"/>
          </w:tcPr>
          <w:p w:rsidR="00062F24" w:rsidRPr="00571541" w:rsidRDefault="00062F24" w:rsidP="00062F24">
            <w:pPr>
              <w:spacing w:after="0" w:line="240" w:lineRule="auto"/>
              <w:jc w:val="center"/>
            </w:pPr>
            <w:r w:rsidRPr="00571541">
              <w:t>201</w:t>
            </w:r>
            <w:r>
              <w:t>7</w:t>
            </w:r>
            <w:r w:rsidRPr="00571541">
              <w:t>/1</w:t>
            </w:r>
            <w:r w:rsidR="005B17EE">
              <w:t>8-20</w:t>
            </w:r>
            <w:r>
              <w:t>18/19</w:t>
            </w:r>
          </w:p>
        </w:tc>
        <w:tc>
          <w:tcPr>
            <w:tcW w:w="1218" w:type="dxa"/>
          </w:tcPr>
          <w:p w:rsidR="00062F24" w:rsidRPr="00571541" w:rsidRDefault="00062F24" w:rsidP="00062F24">
            <w:pPr>
              <w:spacing w:after="0" w:line="240" w:lineRule="auto"/>
              <w:jc w:val="right"/>
            </w:pPr>
            <w:r w:rsidRPr="00571541">
              <w:t>19</w:t>
            </w:r>
          </w:p>
        </w:tc>
        <w:tc>
          <w:tcPr>
            <w:tcW w:w="1131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1186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6966" w:type="dxa"/>
          </w:tcPr>
          <w:p w:rsidR="00062F24" w:rsidRPr="00571541" w:rsidRDefault="00062F24" w:rsidP="003C3C80">
            <w:pPr>
              <w:spacing w:after="0" w:line="240" w:lineRule="auto"/>
            </w:pPr>
            <w:r w:rsidRPr="00571541">
              <w:t>Funding for Bicester Garden Town</w:t>
            </w:r>
            <w:r w:rsidR="003C3C80">
              <w:t>.</w:t>
            </w:r>
          </w:p>
        </w:tc>
      </w:tr>
      <w:tr w:rsidR="00062F24" w:rsidRPr="00062F24" w:rsidTr="006E28ED">
        <w:tc>
          <w:tcPr>
            <w:tcW w:w="2035" w:type="dxa"/>
          </w:tcPr>
          <w:p w:rsidR="00062F24" w:rsidRPr="00571541" w:rsidRDefault="00062F24" w:rsidP="00062F24">
            <w:pPr>
              <w:spacing w:after="0" w:line="240" w:lineRule="auto"/>
            </w:pPr>
            <w:proofErr w:type="spellStart"/>
            <w:r w:rsidRPr="00571541">
              <w:t>Ebbsfleet</w:t>
            </w:r>
            <w:proofErr w:type="spellEnd"/>
            <w:r w:rsidRPr="00571541">
              <w:t xml:space="preserve"> development</w:t>
            </w:r>
          </w:p>
        </w:tc>
        <w:tc>
          <w:tcPr>
            <w:tcW w:w="1858" w:type="dxa"/>
          </w:tcPr>
          <w:p w:rsidR="00062F24" w:rsidRPr="00571541" w:rsidRDefault="00062F24" w:rsidP="00062F24">
            <w:pPr>
              <w:spacing w:after="0" w:line="240" w:lineRule="auto"/>
              <w:jc w:val="center"/>
            </w:pPr>
            <w:r w:rsidRPr="00571541">
              <w:t>201</w:t>
            </w:r>
            <w:r>
              <w:t>6</w:t>
            </w:r>
            <w:r w:rsidRPr="00571541">
              <w:t>/1</w:t>
            </w:r>
            <w:r>
              <w:t>7</w:t>
            </w:r>
            <w:r w:rsidR="005B17EE">
              <w:t>-</w:t>
            </w:r>
            <w:r w:rsidR="00AD0FA8">
              <w:t>20</w:t>
            </w:r>
            <w:r>
              <w:t>20/21</w:t>
            </w:r>
          </w:p>
        </w:tc>
        <w:tc>
          <w:tcPr>
            <w:tcW w:w="1218" w:type="dxa"/>
          </w:tcPr>
          <w:p w:rsidR="00062F24" w:rsidRPr="00571541" w:rsidRDefault="00CE0AC5" w:rsidP="00062F24">
            <w:pPr>
              <w:spacing w:after="0" w:line="240" w:lineRule="auto"/>
              <w:jc w:val="right"/>
            </w:pPr>
            <w:r w:rsidRPr="00CE0AC5">
              <w:t>275</w:t>
            </w:r>
          </w:p>
        </w:tc>
        <w:tc>
          <w:tcPr>
            <w:tcW w:w="1131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1186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6966" w:type="dxa"/>
          </w:tcPr>
          <w:p w:rsidR="00062F24" w:rsidRPr="00571541" w:rsidRDefault="003C3C80" w:rsidP="005D0551">
            <w:pPr>
              <w:spacing w:after="0" w:line="240" w:lineRule="auto"/>
            </w:pPr>
            <w:r>
              <w:t>F</w:t>
            </w:r>
            <w:r w:rsidR="00062F24" w:rsidRPr="00571541">
              <w:t>unding for</w:t>
            </w:r>
            <w:r w:rsidR="00062F24">
              <w:t xml:space="preserve"> </w:t>
            </w:r>
            <w:proofErr w:type="spellStart"/>
            <w:r w:rsidR="00062F24" w:rsidRPr="00571541">
              <w:t>Ebbsfleet</w:t>
            </w:r>
            <w:proofErr w:type="spellEnd"/>
            <w:r w:rsidR="00062F24" w:rsidRPr="00571541">
              <w:t xml:space="preserve"> </w:t>
            </w:r>
            <w:r w:rsidRPr="00571541">
              <w:t>Garden City</w:t>
            </w:r>
            <w:r>
              <w:t>.</w:t>
            </w:r>
          </w:p>
        </w:tc>
      </w:tr>
      <w:tr w:rsidR="00062F24" w:rsidRPr="00062F24" w:rsidTr="006E28ED">
        <w:tc>
          <w:tcPr>
            <w:tcW w:w="2035" w:type="dxa"/>
          </w:tcPr>
          <w:p w:rsidR="00062F24" w:rsidRPr="00571541" w:rsidRDefault="00062F24" w:rsidP="00062F24">
            <w:pPr>
              <w:spacing w:after="0" w:line="240" w:lineRule="auto"/>
            </w:pPr>
            <w:r w:rsidRPr="00571541">
              <w:lastRenderedPageBreak/>
              <w:t>New Homes Bonus</w:t>
            </w:r>
          </w:p>
        </w:tc>
        <w:tc>
          <w:tcPr>
            <w:tcW w:w="1858" w:type="dxa"/>
          </w:tcPr>
          <w:p w:rsidR="00062F24" w:rsidRPr="00571541" w:rsidRDefault="00062F24" w:rsidP="008F292B">
            <w:pPr>
              <w:spacing w:after="0" w:line="240" w:lineRule="auto"/>
              <w:jc w:val="center"/>
            </w:pPr>
            <w:r w:rsidRPr="00571541">
              <w:t>201</w:t>
            </w:r>
            <w:r w:rsidR="008F292B">
              <w:t>7</w:t>
            </w:r>
            <w:r w:rsidRPr="00571541">
              <w:t>-1</w:t>
            </w:r>
            <w:r w:rsidR="008F292B">
              <w:t>8</w:t>
            </w:r>
          </w:p>
        </w:tc>
        <w:tc>
          <w:tcPr>
            <w:tcW w:w="1218" w:type="dxa"/>
          </w:tcPr>
          <w:p w:rsidR="00062F24" w:rsidRPr="00571541" w:rsidRDefault="008F292B" w:rsidP="00062F24">
            <w:pPr>
              <w:spacing w:after="0" w:line="240" w:lineRule="auto"/>
              <w:jc w:val="right"/>
            </w:pPr>
            <w:r w:rsidRPr="00CE0AC5">
              <w:t>197</w:t>
            </w:r>
          </w:p>
        </w:tc>
        <w:tc>
          <w:tcPr>
            <w:tcW w:w="1131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1186" w:type="dxa"/>
          </w:tcPr>
          <w:p w:rsidR="00062F24" w:rsidRPr="00571541" w:rsidRDefault="00062F24" w:rsidP="00CC72D5">
            <w:pPr>
              <w:spacing w:after="0" w:line="240" w:lineRule="auto"/>
              <w:jc w:val="right"/>
            </w:pPr>
            <w:r w:rsidRPr="00571541">
              <w:t>-</w:t>
            </w:r>
          </w:p>
        </w:tc>
        <w:tc>
          <w:tcPr>
            <w:tcW w:w="6966" w:type="dxa"/>
          </w:tcPr>
          <w:p w:rsidR="00062F24" w:rsidRPr="003C3C80" w:rsidRDefault="003C3C80" w:rsidP="00062F24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sz w:val="23"/>
                <w:szCs w:val="23"/>
              </w:rPr>
              <w:t>Part funding of the New Homes Bonus – top-sliced from the LA</w:t>
            </w:r>
            <w:r w:rsidR="00062F24" w:rsidRPr="00571541">
              <w:rPr>
                <w:sz w:val="23"/>
                <w:szCs w:val="23"/>
              </w:rPr>
              <w:t xml:space="preserve"> Revenue Support Grant.</w:t>
            </w:r>
          </w:p>
        </w:tc>
      </w:tr>
      <w:tr w:rsidR="005D0551" w:rsidRPr="005D0551" w:rsidTr="006E28ED">
        <w:tc>
          <w:tcPr>
            <w:tcW w:w="2035" w:type="dxa"/>
          </w:tcPr>
          <w:p w:rsidR="005D0551" w:rsidRPr="005D0551" w:rsidRDefault="005D0551" w:rsidP="003C3C80">
            <w:pPr>
              <w:spacing w:after="0" w:line="240" w:lineRule="auto"/>
              <w:rPr>
                <w:b/>
              </w:rPr>
            </w:pPr>
            <w:r w:rsidRPr="005D0551">
              <w:rPr>
                <w:b/>
              </w:rPr>
              <w:t>Sub-total: private market support and starter homes</w:t>
            </w:r>
          </w:p>
        </w:tc>
        <w:tc>
          <w:tcPr>
            <w:tcW w:w="1858" w:type="dxa"/>
          </w:tcPr>
          <w:p w:rsidR="005D0551" w:rsidRPr="005D0551" w:rsidRDefault="005D0551" w:rsidP="00062F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8" w:type="dxa"/>
          </w:tcPr>
          <w:p w:rsidR="005D0551" w:rsidRPr="005D0551" w:rsidRDefault="005D0551" w:rsidP="00F309F7">
            <w:pPr>
              <w:spacing w:after="0" w:line="240" w:lineRule="auto"/>
              <w:jc w:val="right"/>
              <w:rPr>
                <w:b/>
              </w:rPr>
            </w:pPr>
            <w:r w:rsidRPr="005D0551">
              <w:rPr>
                <w:b/>
              </w:rPr>
              <w:t>11,473</w:t>
            </w:r>
          </w:p>
        </w:tc>
        <w:tc>
          <w:tcPr>
            <w:tcW w:w="1131" w:type="dxa"/>
          </w:tcPr>
          <w:p w:rsidR="005D0551" w:rsidRPr="005D0551" w:rsidRDefault="005D0551" w:rsidP="00F309F7">
            <w:pPr>
              <w:spacing w:after="0" w:line="240" w:lineRule="auto"/>
              <w:jc w:val="right"/>
              <w:rPr>
                <w:b/>
              </w:rPr>
            </w:pPr>
            <w:r w:rsidRPr="005D0551">
              <w:rPr>
                <w:b/>
              </w:rPr>
              <w:t>15,890</w:t>
            </w:r>
          </w:p>
        </w:tc>
        <w:tc>
          <w:tcPr>
            <w:tcW w:w="1186" w:type="dxa"/>
          </w:tcPr>
          <w:p w:rsidR="005D0551" w:rsidRPr="005D0551" w:rsidRDefault="005D0551" w:rsidP="00F309F7">
            <w:pPr>
              <w:spacing w:after="0" w:line="240" w:lineRule="auto"/>
              <w:jc w:val="right"/>
              <w:rPr>
                <w:b/>
              </w:rPr>
            </w:pPr>
            <w:r w:rsidRPr="005D0551">
              <w:rPr>
                <w:b/>
              </w:rPr>
              <w:t>15,500</w:t>
            </w:r>
          </w:p>
        </w:tc>
        <w:tc>
          <w:tcPr>
            <w:tcW w:w="6966" w:type="dxa"/>
          </w:tcPr>
          <w:p w:rsidR="005D0551" w:rsidRPr="005D0551" w:rsidRDefault="005D0551" w:rsidP="000021D9">
            <w:pPr>
              <w:spacing w:after="0" w:line="240" w:lineRule="auto"/>
              <w:rPr>
                <w:b/>
              </w:rPr>
            </w:pPr>
            <w:r w:rsidRPr="005D0551">
              <w:rPr>
                <w:b/>
              </w:rPr>
              <w:t xml:space="preserve">Sub-total = </w:t>
            </w:r>
            <w:r w:rsidR="00AD0FA8">
              <w:rPr>
                <w:b/>
              </w:rPr>
              <w:t>£</w:t>
            </w:r>
            <w:r w:rsidRPr="005D0551">
              <w:rPr>
                <w:b/>
              </w:rPr>
              <w:t>42,863</w:t>
            </w:r>
            <w:r w:rsidR="00AD0FA8">
              <w:rPr>
                <w:b/>
              </w:rPr>
              <w:t xml:space="preserve"> million (8</w:t>
            </w:r>
            <w:r w:rsidR="000021D9">
              <w:rPr>
                <w:b/>
              </w:rPr>
              <w:t>4</w:t>
            </w:r>
            <w:bookmarkStart w:id="0" w:name="_GoBack"/>
            <w:bookmarkEnd w:id="0"/>
            <w:r w:rsidR="00AD0FA8">
              <w:rPr>
                <w:b/>
              </w:rPr>
              <w:t>%)</w:t>
            </w:r>
          </w:p>
        </w:tc>
      </w:tr>
      <w:tr w:rsidR="00062F24" w:rsidRPr="00062F24" w:rsidTr="006E28ED">
        <w:tc>
          <w:tcPr>
            <w:tcW w:w="2035" w:type="dxa"/>
          </w:tcPr>
          <w:p w:rsidR="00062F24" w:rsidRPr="005D0551" w:rsidRDefault="00BE6267" w:rsidP="00062F24">
            <w:pPr>
              <w:spacing w:after="0" w:line="240" w:lineRule="auto"/>
              <w:rPr>
                <w:b/>
              </w:rPr>
            </w:pPr>
            <w:r w:rsidRPr="005D0551">
              <w:rPr>
                <w:b/>
              </w:rPr>
              <w:t>Overall total</w:t>
            </w:r>
          </w:p>
        </w:tc>
        <w:tc>
          <w:tcPr>
            <w:tcW w:w="1858" w:type="dxa"/>
          </w:tcPr>
          <w:p w:rsidR="00062F24" w:rsidRPr="005D0551" w:rsidRDefault="00062F24" w:rsidP="00062F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8" w:type="dxa"/>
          </w:tcPr>
          <w:p w:rsidR="00062F24" w:rsidRPr="005D0551" w:rsidRDefault="00AD0FA8" w:rsidP="000021D9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021D9">
              <w:rPr>
                <w:b/>
              </w:rPr>
              <w:t>9</w:t>
            </w:r>
            <w:r>
              <w:rPr>
                <w:b/>
              </w:rPr>
              <w:t>,</w:t>
            </w:r>
            <w:r w:rsidR="000021D9">
              <w:rPr>
                <w:b/>
              </w:rPr>
              <w:t>3</w:t>
            </w:r>
            <w:r>
              <w:rPr>
                <w:b/>
              </w:rPr>
              <w:t>98</w:t>
            </w:r>
          </w:p>
        </w:tc>
        <w:tc>
          <w:tcPr>
            <w:tcW w:w="1131" w:type="dxa"/>
          </w:tcPr>
          <w:p w:rsidR="00062F24" w:rsidRPr="005D0551" w:rsidRDefault="00AD0FA8" w:rsidP="00CC72D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16,190</w:t>
            </w:r>
          </w:p>
        </w:tc>
        <w:tc>
          <w:tcPr>
            <w:tcW w:w="1186" w:type="dxa"/>
          </w:tcPr>
          <w:p w:rsidR="00062F24" w:rsidRPr="005D0551" w:rsidRDefault="00AD0FA8" w:rsidP="00BE6267">
            <w:pPr>
              <w:spacing w:after="0" w:line="240" w:lineRule="auto"/>
              <w:jc w:val="right"/>
              <w:rPr>
                <w:b/>
              </w:rPr>
            </w:pPr>
            <w:r w:rsidRPr="00AD0FA8">
              <w:rPr>
                <w:b/>
              </w:rPr>
              <w:t>15,500</w:t>
            </w:r>
          </w:p>
        </w:tc>
        <w:tc>
          <w:tcPr>
            <w:tcW w:w="6966" w:type="dxa"/>
          </w:tcPr>
          <w:p w:rsidR="00062F24" w:rsidRPr="00571541" w:rsidRDefault="00AD0FA8" w:rsidP="000021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  <w:r w:rsidR="00062F24" w:rsidRPr="005D0551">
              <w:rPr>
                <w:b/>
              </w:rPr>
              <w:t xml:space="preserve">verall total = </w:t>
            </w:r>
            <w:r>
              <w:rPr>
                <w:b/>
              </w:rPr>
              <w:t>£5</w:t>
            </w:r>
            <w:r w:rsidR="000021D9">
              <w:rPr>
                <w:b/>
              </w:rPr>
              <w:t>1</w:t>
            </w:r>
            <w:r>
              <w:rPr>
                <w:b/>
              </w:rPr>
              <w:t>,</w:t>
            </w:r>
            <w:r w:rsidR="000021D9">
              <w:rPr>
                <w:b/>
              </w:rPr>
              <w:t>07</w:t>
            </w:r>
            <w:r>
              <w:rPr>
                <w:b/>
              </w:rPr>
              <w:t>8 million (100%)</w:t>
            </w:r>
          </w:p>
        </w:tc>
      </w:tr>
    </w:tbl>
    <w:p w:rsidR="00062F24" w:rsidRDefault="00AD0FA8" w:rsidP="00062F24">
      <w:r>
        <w:t>Source: UK Housing Review calculation, in consultation with DCLG.</w:t>
      </w:r>
    </w:p>
    <w:p w:rsidR="00AD0FA8" w:rsidRPr="00062F24" w:rsidRDefault="00AD0FA8" w:rsidP="00062F24">
      <w:r>
        <w:t>Note: This updates the table on p.11 of the UK Housing Review 2016 Briefing Paper, principally in respect of changes in the Autumn Statement 2016.</w:t>
      </w:r>
      <w:r w:rsidR="00665E22">
        <w:t xml:space="preserve"> It includes all programmes with spending in 2016/17 or later years.</w:t>
      </w:r>
    </w:p>
    <w:p w:rsidR="00DF13C6" w:rsidRDefault="006F2CD8"/>
    <w:sectPr w:rsidR="00DF13C6" w:rsidSect="00062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D8" w:rsidRDefault="006F2CD8">
      <w:pPr>
        <w:spacing w:after="0" w:line="240" w:lineRule="auto"/>
      </w:pPr>
      <w:r>
        <w:separator/>
      </w:r>
    </w:p>
  </w:endnote>
  <w:endnote w:type="continuationSeparator" w:id="0">
    <w:p w:rsidR="006F2CD8" w:rsidRDefault="006F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19" w:rsidRDefault="006F2C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19" w:rsidRDefault="006F2C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19" w:rsidRDefault="006F2C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D8" w:rsidRDefault="006F2CD8">
      <w:pPr>
        <w:spacing w:after="0" w:line="240" w:lineRule="auto"/>
      </w:pPr>
      <w:r>
        <w:separator/>
      </w:r>
    </w:p>
  </w:footnote>
  <w:footnote w:type="continuationSeparator" w:id="0">
    <w:p w:rsidR="006F2CD8" w:rsidRDefault="006F2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19" w:rsidRDefault="006F2C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19" w:rsidRDefault="006F2C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19" w:rsidRDefault="006F2C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24"/>
    <w:rsid w:val="000021D9"/>
    <w:rsid w:val="00062F24"/>
    <w:rsid w:val="000660E5"/>
    <w:rsid w:val="000F2366"/>
    <w:rsid w:val="0013113F"/>
    <w:rsid w:val="001375BD"/>
    <w:rsid w:val="00141F00"/>
    <w:rsid w:val="001E425C"/>
    <w:rsid w:val="002226AD"/>
    <w:rsid w:val="002C4BC7"/>
    <w:rsid w:val="002D5496"/>
    <w:rsid w:val="003135A1"/>
    <w:rsid w:val="00335158"/>
    <w:rsid w:val="00372697"/>
    <w:rsid w:val="003C3C80"/>
    <w:rsid w:val="003F40EC"/>
    <w:rsid w:val="00433222"/>
    <w:rsid w:val="004E3A1B"/>
    <w:rsid w:val="00523764"/>
    <w:rsid w:val="005B17EE"/>
    <w:rsid w:val="005D0551"/>
    <w:rsid w:val="005E13BE"/>
    <w:rsid w:val="006145B0"/>
    <w:rsid w:val="00665E22"/>
    <w:rsid w:val="006E28ED"/>
    <w:rsid w:val="006F2CD8"/>
    <w:rsid w:val="006F50C8"/>
    <w:rsid w:val="00773F2B"/>
    <w:rsid w:val="007C139D"/>
    <w:rsid w:val="00805FF2"/>
    <w:rsid w:val="00812C2E"/>
    <w:rsid w:val="00816DCC"/>
    <w:rsid w:val="008C3344"/>
    <w:rsid w:val="008D2F2D"/>
    <w:rsid w:val="008F2009"/>
    <w:rsid w:val="008F292B"/>
    <w:rsid w:val="00913538"/>
    <w:rsid w:val="009375D0"/>
    <w:rsid w:val="00947F62"/>
    <w:rsid w:val="0095248B"/>
    <w:rsid w:val="009D6FD6"/>
    <w:rsid w:val="009E5661"/>
    <w:rsid w:val="00A13C72"/>
    <w:rsid w:val="00A44568"/>
    <w:rsid w:val="00A6799E"/>
    <w:rsid w:val="00AD0FA8"/>
    <w:rsid w:val="00AF6E8A"/>
    <w:rsid w:val="00B01095"/>
    <w:rsid w:val="00B2474B"/>
    <w:rsid w:val="00B81B61"/>
    <w:rsid w:val="00B965D9"/>
    <w:rsid w:val="00BA0FEA"/>
    <w:rsid w:val="00BE6267"/>
    <w:rsid w:val="00C6559E"/>
    <w:rsid w:val="00C7721E"/>
    <w:rsid w:val="00CB697B"/>
    <w:rsid w:val="00CC72D5"/>
    <w:rsid w:val="00CD7C3D"/>
    <w:rsid w:val="00CE0AC5"/>
    <w:rsid w:val="00D14053"/>
    <w:rsid w:val="00D61270"/>
    <w:rsid w:val="00D669AD"/>
    <w:rsid w:val="00D80F0B"/>
    <w:rsid w:val="00DD1893"/>
    <w:rsid w:val="00E81C93"/>
    <w:rsid w:val="00F776E2"/>
    <w:rsid w:val="00F82916"/>
    <w:rsid w:val="00F879C6"/>
    <w:rsid w:val="00FA1ED3"/>
    <w:rsid w:val="00FA2E8D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F24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62F24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2F24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62F24"/>
    <w:rPr>
      <w:rFonts w:ascii="Calibri" w:eastAsia="Times New Roman" w:hAnsi="Calibri" w:cs="Times New Roman"/>
      <w:lang w:eastAsia="en-GB"/>
    </w:rPr>
  </w:style>
  <w:style w:type="character" w:styleId="CommentReference">
    <w:name w:val="annotation reference"/>
    <w:basedOn w:val="DefaultParagraphFont"/>
    <w:unhideWhenUsed/>
    <w:rsid w:val="00062F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2F24"/>
    <w:pPr>
      <w:spacing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062F24"/>
    <w:rPr>
      <w:rFonts w:ascii="Calibri" w:eastAsia="Times New Roman" w:hAnsi="Calibri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0E5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0E5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F24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62F24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2F24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62F24"/>
    <w:rPr>
      <w:rFonts w:ascii="Calibri" w:eastAsia="Times New Roman" w:hAnsi="Calibri" w:cs="Times New Roman"/>
      <w:lang w:eastAsia="en-GB"/>
    </w:rPr>
  </w:style>
  <w:style w:type="character" w:styleId="CommentReference">
    <w:name w:val="annotation reference"/>
    <w:basedOn w:val="DefaultParagraphFont"/>
    <w:unhideWhenUsed/>
    <w:rsid w:val="00062F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2F24"/>
    <w:pPr>
      <w:spacing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062F24"/>
    <w:rPr>
      <w:rFonts w:ascii="Calibri" w:eastAsia="Times New Roman" w:hAnsi="Calibri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0E5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0E5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D064-1881-4912-A372-C821EBB0F7C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209A396-E9CA-468D-B901-80173491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perry</dc:creator>
  <cp:lastModifiedBy>john perry</cp:lastModifiedBy>
  <cp:revision>7</cp:revision>
  <cp:lastPrinted>2016-05-16T10:43:00Z</cp:lastPrinted>
  <dcterms:created xsi:type="dcterms:W3CDTF">2017-01-16T21:24:00Z</dcterms:created>
  <dcterms:modified xsi:type="dcterms:W3CDTF">2017-02-23T12:56:00Z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5f090f43-0b77-4237-8aec-bf9b42c23355</vt:lpwstr>
  </property>
  <property fmtid="{D5CDD505-2E9C-101B-9397-08002B2CF9AE}" pid="3" name="bjSaver">
    <vt:lpwstr>uuxlP8qK3SGFfyQGmMXtuEoEWbciMrUL</vt:lpwstr>
  </property>
  <property fmtid="{D5CDD505-2E9C-101B-9397-08002B2CF9AE}" pid="4" name="bjDocumentSecurityLabel">
    <vt:lpwstr>No Marking</vt:lpwstr>
  </property>
</Properties>
</file>